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AF" w:rsidRDefault="00A503AF"/>
    <w:p w:rsidR="00A503AF" w:rsidRDefault="00A503AF"/>
    <w:p w:rsidR="00DF1C2B" w:rsidRPr="00DF1C2B" w:rsidRDefault="00DF1C2B" w:rsidP="00802834">
      <w:pPr>
        <w:jc w:val="center"/>
        <w:rPr>
          <w:b/>
          <w:sz w:val="16"/>
        </w:rPr>
      </w:pPr>
    </w:p>
    <w:p w:rsidR="00802834" w:rsidRDefault="00DF1C2B" w:rsidP="00802834">
      <w:pPr>
        <w:jc w:val="center"/>
        <w:rPr>
          <w:b/>
          <w:sz w:val="48"/>
        </w:rPr>
      </w:pPr>
      <w:r>
        <w:rPr>
          <w:b/>
          <w:sz w:val="48"/>
        </w:rPr>
        <w:t>Lokales Krisenteam Baden-Württemberg</w:t>
      </w:r>
    </w:p>
    <w:p w:rsidR="00067954" w:rsidRDefault="00067954" w:rsidP="00802834">
      <w:pPr>
        <w:jc w:val="center"/>
        <w:rPr>
          <w:b/>
          <w:sz w:val="72"/>
        </w:rPr>
      </w:pPr>
    </w:p>
    <w:p w:rsidR="00A503AF" w:rsidRPr="00802834" w:rsidRDefault="005A4AB4" w:rsidP="00802834">
      <w:pPr>
        <w:jc w:val="center"/>
        <w:rPr>
          <w:b/>
          <w:sz w:val="72"/>
        </w:rPr>
      </w:pPr>
      <w:r>
        <w:rPr>
          <w:b/>
          <w:sz w:val="72"/>
        </w:rPr>
        <w:t xml:space="preserve">Handlungsleitfaden zur </w:t>
      </w:r>
      <w:r w:rsidR="00A503AF" w:rsidRPr="00802834">
        <w:rPr>
          <w:b/>
          <w:sz w:val="72"/>
        </w:rPr>
        <w:t>Wiederinbetriebnahme von Gasnetzen</w:t>
      </w:r>
    </w:p>
    <w:p w:rsidR="00802834" w:rsidRDefault="00802834"/>
    <w:p w:rsidR="00802834" w:rsidRDefault="00802834"/>
    <w:p w:rsidR="00802834" w:rsidRDefault="001520E4"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20B0F1C4" wp14:editId="3F37A79F">
            <wp:simplePos x="0" y="0"/>
            <wp:positionH relativeFrom="page">
              <wp:posOffset>168910</wp:posOffset>
            </wp:positionH>
            <wp:positionV relativeFrom="page">
              <wp:posOffset>271780</wp:posOffset>
            </wp:positionV>
            <wp:extent cx="2202815" cy="522605"/>
            <wp:effectExtent l="0" t="0" r="6985" b="0"/>
            <wp:wrapNone/>
            <wp:docPr id="7" name="Grafik 0" descr="Terranets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Terranets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Pr="003F0443" w:rsidRDefault="0096258A" w:rsidP="00802834">
      <w:pPr>
        <w:tabs>
          <w:tab w:val="left" w:pos="4060"/>
          <w:tab w:val="right" w:pos="9072"/>
        </w:tabs>
        <w:rPr>
          <w:sz w:val="24"/>
        </w:rPr>
      </w:pPr>
      <w:r w:rsidRPr="003F0443">
        <w:rPr>
          <w:sz w:val="24"/>
        </w:rPr>
        <w:tab/>
      </w:r>
      <w:r w:rsidRPr="003F0443">
        <w:rPr>
          <w:sz w:val="24"/>
        </w:rPr>
        <w:tab/>
      </w:r>
      <w:r w:rsidR="00DF1C2B" w:rsidRPr="003F0443">
        <w:rPr>
          <w:sz w:val="24"/>
        </w:rPr>
        <w:t>Stand: 7. Oktober</w:t>
      </w:r>
      <w:r w:rsidR="00802834" w:rsidRPr="003F0443">
        <w:rPr>
          <w:sz w:val="24"/>
        </w:rPr>
        <w:t xml:space="preserve"> 2015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  <w:lang w:eastAsia="en-US"/>
        </w:rPr>
        <w:id w:val="-1010136166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A01653" w:rsidRPr="005B4268" w:rsidRDefault="00A01653">
          <w:pPr>
            <w:pStyle w:val="Inhaltsverzeichnisberschrift"/>
            <w:rPr>
              <w:sz w:val="36"/>
            </w:rPr>
          </w:pPr>
          <w:r w:rsidRPr="005B4268">
            <w:rPr>
              <w:sz w:val="36"/>
            </w:rPr>
            <w:t>Inhalt</w:t>
          </w:r>
        </w:p>
        <w:p w:rsidR="00B6205A" w:rsidRPr="005B4268" w:rsidRDefault="00B6205A" w:rsidP="00B6205A">
          <w:pPr>
            <w:rPr>
              <w:sz w:val="24"/>
              <w:lang w:eastAsia="de-DE"/>
            </w:rPr>
          </w:pPr>
        </w:p>
        <w:p w:rsidR="001836C7" w:rsidRPr="00C65C24" w:rsidRDefault="00A0165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de-DE"/>
            </w:rPr>
          </w:pPr>
          <w:r w:rsidRPr="00C65C24">
            <w:rPr>
              <w:sz w:val="28"/>
            </w:rPr>
            <w:fldChar w:fldCharType="begin"/>
          </w:r>
          <w:r w:rsidRPr="00C65C24">
            <w:rPr>
              <w:sz w:val="28"/>
            </w:rPr>
            <w:instrText xml:space="preserve"> TOC \o "1-3" \h \z \u </w:instrText>
          </w:r>
          <w:r w:rsidRPr="00C65C24">
            <w:rPr>
              <w:sz w:val="28"/>
            </w:rPr>
            <w:fldChar w:fldCharType="separate"/>
          </w:r>
          <w:hyperlink w:anchor="_Toc424130494" w:history="1">
            <w:r w:rsidR="001836C7" w:rsidRPr="00C65C24">
              <w:rPr>
                <w:rStyle w:val="Hyperlink"/>
                <w:noProof/>
                <w:sz w:val="24"/>
              </w:rPr>
              <w:t>1. Einleitung</w:t>
            </w:r>
            <w:r w:rsidR="001836C7" w:rsidRPr="00C65C24">
              <w:rPr>
                <w:noProof/>
                <w:webHidden/>
                <w:sz w:val="24"/>
              </w:rPr>
              <w:tab/>
            </w:r>
            <w:r w:rsidR="001836C7" w:rsidRPr="00C65C24">
              <w:rPr>
                <w:noProof/>
                <w:webHidden/>
                <w:sz w:val="24"/>
              </w:rPr>
              <w:fldChar w:fldCharType="begin"/>
            </w:r>
            <w:r w:rsidR="001836C7" w:rsidRPr="00C65C24">
              <w:rPr>
                <w:noProof/>
                <w:webHidden/>
                <w:sz w:val="24"/>
              </w:rPr>
              <w:instrText xml:space="preserve"> PAGEREF _Toc424130494 \h </w:instrText>
            </w:r>
            <w:r w:rsidR="001836C7" w:rsidRPr="00C65C24">
              <w:rPr>
                <w:noProof/>
                <w:webHidden/>
                <w:sz w:val="24"/>
              </w:rPr>
            </w:r>
            <w:r w:rsidR="001836C7" w:rsidRPr="00C65C24">
              <w:rPr>
                <w:noProof/>
                <w:webHidden/>
                <w:sz w:val="24"/>
              </w:rPr>
              <w:fldChar w:fldCharType="separate"/>
            </w:r>
            <w:r w:rsidR="001836C7" w:rsidRPr="00C65C24">
              <w:rPr>
                <w:noProof/>
                <w:webHidden/>
                <w:sz w:val="24"/>
              </w:rPr>
              <w:t>3</w:t>
            </w:r>
            <w:r w:rsidR="001836C7" w:rsidRPr="00C65C24">
              <w:rPr>
                <w:noProof/>
                <w:webHidden/>
                <w:sz w:val="24"/>
              </w:rPr>
              <w:fldChar w:fldCharType="end"/>
            </w:r>
          </w:hyperlink>
        </w:p>
        <w:p w:rsidR="001836C7" w:rsidRPr="00C65C24" w:rsidRDefault="001E51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de-DE"/>
            </w:rPr>
          </w:pPr>
          <w:hyperlink w:anchor="_Toc424130495" w:history="1">
            <w:r w:rsidR="001836C7" w:rsidRPr="00C65C24">
              <w:rPr>
                <w:rStyle w:val="Hyperlink"/>
                <w:noProof/>
                <w:sz w:val="24"/>
              </w:rPr>
              <w:t>2. Ausgangssituation</w:t>
            </w:r>
            <w:r w:rsidR="001836C7" w:rsidRPr="00C65C24">
              <w:rPr>
                <w:noProof/>
                <w:webHidden/>
                <w:sz w:val="24"/>
              </w:rPr>
              <w:tab/>
            </w:r>
            <w:r w:rsidR="001836C7" w:rsidRPr="00C65C24">
              <w:rPr>
                <w:noProof/>
                <w:webHidden/>
                <w:sz w:val="24"/>
              </w:rPr>
              <w:fldChar w:fldCharType="begin"/>
            </w:r>
            <w:r w:rsidR="001836C7" w:rsidRPr="00C65C24">
              <w:rPr>
                <w:noProof/>
                <w:webHidden/>
                <w:sz w:val="24"/>
              </w:rPr>
              <w:instrText xml:space="preserve"> PAGEREF _Toc424130495 \h </w:instrText>
            </w:r>
            <w:r w:rsidR="001836C7" w:rsidRPr="00C65C24">
              <w:rPr>
                <w:noProof/>
                <w:webHidden/>
                <w:sz w:val="24"/>
              </w:rPr>
            </w:r>
            <w:r w:rsidR="001836C7" w:rsidRPr="00C65C24">
              <w:rPr>
                <w:noProof/>
                <w:webHidden/>
                <w:sz w:val="24"/>
              </w:rPr>
              <w:fldChar w:fldCharType="separate"/>
            </w:r>
            <w:r w:rsidR="001836C7" w:rsidRPr="00C65C24">
              <w:rPr>
                <w:noProof/>
                <w:webHidden/>
                <w:sz w:val="24"/>
              </w:rPr>
              <w:t>3</w:t>
            </w:r>
            <w:r w:rsidR="001836C7" w:rsidRPr="00C65C24">
              <w:rPr>
                <w:noProof/>
                <w:webHidden/>
                <w:sz w:val="24"/>
              </w:rPr>
              <w:fldChar w:fldCharType="end"/>
            </w:r>
          </w:hyperlink>
        </w:p>
        <w:p w:rsidR="001836C7" w:rsidRPr="00C65C24" w:rsidRDefault="001E51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de-DE"/>
            </w:rPr>
          </w:pPr>
          <w:hyperlink w:anchor="_Toc424130496" w:history="1">
            <w:r w:rsidR="001836C7" w:rsidRPr="00C65C24">
              <w:rPr>
                <w:rStyle w:val="Hyperlink"/>
                <w:noProof/>
                <w:sz w:val="24"/>
              </w:rPr>
              <w:t>3. Vorbereitende Maßnahmen</w:t>
            </w:r>
            <w:r w:rsidR="001836C7" w:rsidRPr="00C65C24">
              <w:rPr>
                <w:noProof/>
                <w:webHidden/>
                <w:sz w:val="24"/>
              </w:rPr>
              <w:tab/>
            </w:r>
            <w:r w:rsidR="001836C7" w:rsidRPr="00C65C24">
              <w:rPr>
                <w:noProof/>
                <w:webHidden/>
                <w:sz w:val="24"/>
              </w:rPr>
              <w:fldChar w:fldCharType="begin"/>
            </w:r>
            <w:r w:rsidR="001836C7" w:rsidRPr="00C65C24">
              <w:rPr>
                <w:noProof/>
                <w:webHidden/>
                <w:sz w:val="24"/>
              </w:rPr>
              <w:instrText xml:space="preserve"> PAGEREF _Toc424130496 \h </w:instrText>
            </w:r>
            <w:r w:rsidR="001836C7" w:rsidRPr="00C65C24">
              <w:rPr>
                <w:noProof/>
                <w:webHidden/>
                <w:sz w:val="24"/>
              </w:rPr>
            </w:r>
            <w:r w:rsidR="001836C7" w:rsidRPr="00C65C24">
              <w:rPr>
                <w:noProof/>
                <w:webHidden/>
                <w:sz w:val="24"/>
              </w:rPr>
              <w:fldChar w:fldCharType="separate"/>
            </w:r>
            <w:r w:rsidR="001836C7" w:rsidRPr="00C65C24">
              <w:rPr>
                <w:noProof/>
                <w:webHidden/>
                <w:sz w:val="24"/>
              </w:rPr>
              <w:t>3</w:t>
            </w:r>
            <w:r w:rsidR="001836C7" w:rsidRPr="00C65C24">
              <w:rPr>
                <w:noProof/>
                <w:webHidden/>
                <w:sz w:val="24"/>
              </w:rPr>
              <w:fldChar w:fldCharType="end"/>
            </w:r>
          </w:hyperlink>
        </w:p>
        <w:p w:rsidR="001836C7" w:rsidRPr="00C65C24" w:rsidRDefault="001E51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de-DE"/>
            </w:rPr>
          </w:pPr>
          <w:hyperlink w:anchor="_Toc424130497" w:history="1">
            <w:r w:rsidR="001836C7" w:rsidRPr="00C65C24">
              <w:rPr>
                <w:rStyle w:val="Hyperlink"/>
                <w:noProof/>
                <w:sz w:val="24"/>
              </w:rPr>
              <w:t>4. Wiedererreichen des Normalzustands/Netzaufbau</w:t>
            </w:r>
            <w:r w:rsidR="001836C7" w:rsidRPr="00C65C24">
              <w:rPr>
                <w:noProof/>
                <w:webHidden/>
                <w:sz w:val="24"/>
              </w:rPr>
              <w:tab/>
            </w:r>
            <w:r w:rsidR="001836C7" w:rsidRPr="00C65C24">
              <w:rPr>
                <w:noProof/>
                <w:webHidden/>
                <w:sz w:val="24"/>
              </w:rPr>
              <w:fldChar w:fldCharType="begin"/>
            </w:r>
            <w:r w:rsidR="001836C7" w:rsidRPr="00C65C24">
              <w:rPr>
                <w:noProof/>
                <w:webHidden/>
                <w:sz w:val="24"/>
              </w:rPr>
              <w:instrText xml:space="preserve"> PAGEREF _Toc424130497 \h </w:instrText>
            </w:r>
            <w:r w:rsidR="001836C7" w:rsidRPr="00C65C24">
              <w:rPr>
                <w:noProof/>
                <w:webHidden/>
                <w:sz w:val="24"/>
              </w:rPr>
            </w:r>
            <w:r w:rsidR="001836C7" w:rsidRPr="00C65C24">
              <w:rPr>
                <w:noProof/>
                <w:webHidden/>
                <w:sz w:val="24"/>
              </w:rPr>
              <w:fldChar w:fldCharType="separate"/>
            </w:r>
            <w:r w:rsidR="001836C7" w:rsidRPr="00C65C24">
              <w:rPr>
                <w:noProof/>
                <w:webHidden/>
                <w:sz w:val="24"/>
              </w:rPr>
              <w:t>5</w:t>
            </w:r>
            <w:r w:rsidR="001836C7" w:rsidRPr="00C65C24">
              <w:rPr>
                <w:noProof/>
                <w:webHidden/>
                <w:sz w:val="24"/>
              </w:rPr>
              <w:fldChar w:fldCharType="end"/>
            </w:r>
          </w:hyperlink>
        </w:p>
        <w:p w:rsidR="001836C7" w:rsidRPr="00C65C24" w:rsidRDefault="001E51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de-DE"/>
            </w:rPr>
          </w:pPr>
          <w:hyperlink w:anchor="_Toc424130498" w:history="1">
            <w:r w:rsidR="001836C7" w:rsidRPr="00C65C24">
              <w:rPr>
                <w:rStyle w:val="Hyperlink"/>
                <w:noProof/>
                <w:sz w:val="24"/>
              </w:rPr>
              <w:t>4.1. Lage nach Engpass</w:t>
            </w:r>
            <w:r w:rsidR="001836C7" w:rsidRPr="00C65C24">
              <w:rPr>
                <w:noProof/>
                <w:webHidden/>
                <w:sz w:val="24"/>
              </w:rPr>
              <w:tab/>
            </w:r>
            <w:r w:rsidR="001836C7" w:rsidRPr="00C65C24">
              <w:rPr>
                <w:noProof/>
                <w:webHidden/>
                <w:sz w:val="24"/>
              </w:rPr>
              <w:fldChar w:fldCharType="begin"/>
            </w:r>
            <w:r w:rsidR="001836C7" w:rsidRPr="00C65C24">
              <w:rPr>
                <w:noProof/>
                <w:webHidden/>
                <w:sz w:val="24"/>
              </w:rPr>
              <w:instrText xml:space="preserve"> PAGEREF _Toc424130498 \h </w:instrText>
            </w:r>
            <w:r w:rsidR="001836C7" w:rsidRPr="00C65C24">
              <w:rPr>
                <w:noProof/>
                <w:webHidden/>
                <w:sz w:val="24"/>
              </w:rPr>
            </w:r>
            <w:r w:rsidR="001836C7" w:rsidRPr="00C65C24">
              <w:rPr>
                <w:noProof/>
                <w:webHidden/>
                <w:sz w:val="24"/>
              </w:rPr>
              <w:fldChar w:fldCharType="separate"/>
            </w:r>
            <w:r w:rsidR="001836C7" w:rsidRPr="00C65C24">
              <w:rPr>
                <w:noProof/>
                <w:webHidden/>
                <w:sz w:val="24"/>
              </w:rPr>
              <w:t>5</w:t>
            </w:r>
            <w:r w:rsidR="001836C7" w:rsidRPr="00C65C24">
              <w:rPr>
                <w:noProof/>
                <w:webHidden/>
                <w:sz w:val="24"/>
              </w:rPr>
              <w:fldChar w:fldCharType="end"/>
            </w:r>
          </w:hyperlink>
        </w:p>
        <w:p w:rsidR="001836C7" w:rsidRPr="00C65C24" w:rsidRDefault="001E51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de-DE"/>
            </w:rPr>
          </w:pPr>
          <w:hyperlink w:anchor="_Toc424130499" w:history="1">
            <w:r w:rsidR="001836C7" w:rsidRPr="00C65C24">
              <w:rPr>
                <w:rStyle w:val="Hyperlink"/>
                <w:noProof/>
                <w:sz w:val="24"/>
              </w:rPr>
              <w:t>4.2. Operatives Vorgehen der VNB/FNB</w:t>
            </w:r>
            <w:r w:rsidR="001836C7" w:rsidRPr="00C65C24">
              <w:rPr>
                <w:noProof/>
                <w:webHidden/>
                <w:sz w:val="24"/>
              </w:rPr>
              <w:tab/>
            </w:r>
            <w:r w:rsidR="001836C7" w:rsidRPr="00C65C24">
              <w:rPr>
                <w:noProof/>
                <w:webHidden/>
                <w:sz w:val="24"/>
              </w:rPr>
              <w:fldChar w:fldCharType="begin"/>
            </w:r>
            <w:r w:rsidR="001836C7" w:rsidRPr="00C65C24">
              <w:rPr>
                <w:noProof/>
                <w:webHidden/>
                <w:sz w:val="24"/>
              </w:rPr>
              <w:instrText xml:space="preserve"> PAGEREF _Toc424130499 \h </w:instrText>
            </w:r>
            <w:r w:rsidR="001836C7" w:rsidRPr="00C65C24">
              <w:rPr>
                <w:noProof/>
                <w:webHidden/>
                <w:sz w:val="24"/>
              </w:rPr>
            </w:r>
            <w:r w:rsidR="001836C7" w:rsidRPr="00C65C24">
              <w:rPr>
                <w:noProof/>
                <w:webHidden/>
                <w:sz w:val="24"/>
              </w:rPr>
              <w:fldChar w:fldCharType="separate"/>
            </w:r>
            <w:r w:rsidR="001836C7" w:rsidRPr="00C65C24">
              <w:rPr>
                <w:noProof/>
                <w:webHidden/>
                <w:sz w:val="24"/>
              </w:rPr>
              <w:t>5</w:t>
            </w:r>
            <w:r w:rsidR="001836C7" w:rsidRPr="00C65C24">
              <w:rPr>
                <w:noProof/>
                <w:webHidden/>
                <w:sz w:val="24"/>
              </w:rPr>
              <w:fldChar w:fldCharType="end"/>
            </w:r>
          </w:hyperlink>
        </w:p>
        <w:p w:rsidR="00A01653" w:rsidRPr="005B4268" w:rsidRDefault="00A01653">
          <w:pPr>
            <w:rPr>
              <w:sz w:val="24"/>
            </w:rPr>
          </w:pPr>
          <w:r w:rsidRPr="00C65C24">
            <w:rPr>
              <w:b/>
              <w:bCs/>
              <w:sz w:val="28"/>
            </w:rPr>
            <w:fldChar w:fldCharType="end"/>
          </w:r>
        </w:p>
      </w:sdtContent>
    </w:sdt>
    <w:p w:rsidR="00802834" w:rsidRPr="00802834" w:rsidRDefault="00802834">
      <w:pPr>
        <w:rPr>
          <w:sz w:val="20"/>
        </w:rPr>
      </w:pPr>
    </w:p>
    <w:p w:rsidR="00802834" w:rsidRPr="00802834" w:rsidRDefault="00802834">
      <w:pPr>
        <w:rPr>
          <w:sz w:val="20"/>
        </w:rPr>
      </w:pPr>
    </w:p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802834"/>
    <w:p w:rsidR="00802834" w:rsidRDefault="001836C7" w:rsidP="003251A7">
      <w:pPr>
        <w:pStyle w:val="berschrift1"/>
      </w:pPr>
      <w:bookmarkStart w:id="0" w:name="_Toc424130494"/>
      <w:r>
        <w:lastRenderedPageBreak/>
        <w:t>1</w:t>
      </w:r>
      <w:r w:rsidR="00C77E40" w:rsidRPr="00C77E40">
        <w:t>.</w:t>
      </w:r>
      <w:r w:rsidR="00C77E40">
        <w:t xml:space="preserve"> </w:t>
      </w:r>
      <w:r w:rsidR="00802834">
        <w:t>Einleitung</w:t>
      </w:r>
      <w:bookmarkEnd w:id="0"/>
    </w:p>
    <w:p w:rsidR="00C77E40" w:rsidRPr="00C77E40" w:rsidRDefault="00C77E40" w:rsidP="00C77E40"/>
    <w:p w:rsidR="00F16797" w:rsidRDefault="00802834" w:rsidP="00A01653">
      <w:pPr>
        <w:jc w:val="both"/>
        <w:rPr>
          <w:sz w:val="24"/>
        </w:rPr>
      </w:pPr>
      <w:r w:rsidRPr="00A01653">
        <w:rPr>
          <w:sz w:val="24"/>
        </w:rPr>
        <w:t xml:space="preserve">Das vorliegende Dokument soll </w:t>
      </w:r>
      <w:r w:rsidR="00BF2C6E">
        <w:rPr>
          <w:sz w:val="24"/>
        </w:rPr>
        <w:t xml:space="preserve">das </w:t>
      </w:r>
      <w:r w:rsidR="002B04BF">
        <w:rPr>
          <w:sz w:val="24"/>
        </w:rPr>
        <w:t xml:space="preserve">abgestimmte </w:t>
      </w:r>
      <w:r w:rsidR="00BF2C6E">
        <w:rPr>
          <w:sz w:val="24"/>
        </w:rPr>
        <w:t>operative Vorgehen</w:t>
      </w:r>
      <w:r w:rsidRPr="00A01653">
        <w:rPr>
          <w:sz w:val="24"/>
        </w:rPr>
        <w:t xml:space="preserve"> </w:t>
      </w:r>
      <w:r w:rsidR="002B04BF">
        <w:rPr>
          <w:sz w:val="24"/>
        </w:rPr>
        <w:t>zwischen</w:t>
      </w:r>
      <w:r w:rsidR="00BF2C6E">
        <w:rPr>
          <w:sz w:val="24"/>
        </w:rPr>
        <w:t xml:space="preserve"> </w:t>
      </w:r>
      <w:r w:rsidR="002B04BF">
        <w:rPr>
          <w:sz w:val="24"/>
        </w:rPr>
        <w:t>direkt verbundenen Verteilnetz- bzw. Transportnetzbetreibern</w:t>
      </w:r>
      <w:r w:rsidR="00E563E8">
        <w:rPr>
          <w:sz w:val="24"/>
        </w:rPr>
        <w:t xml:space="preserve"> (VNB, FNB)</w:t>
      </w:r>
      <w:r w:rsidR="002B04BF">
        <w:rPr>
          <w:sz w:val="24"/>
        </w:rPr>
        <w:t xml:space="preserve"> </w:t>
      </w:r>
      <w:r w:rsidR="00A01653">
        <w:rPr>
          <w:sz w:val="24"/>
        </w:rPr>
        <w:t xml:space="preserve">bei der Wiederinbetriebnahme von Gasnetzen </w:t>
      </w:r>
      <w:r w:rsidR="00A01653" w:rsidRPr="00A01653">
        <w:rPr>
          <w:sz w:val="24"/>
        </w:rPr>
        <w:t>regeln</w:t>
      </w:r>
      <w:r w:rsidR="00A01653">
        <w:rPr>
          <w:sz w:val="24"/>
        </w:rPr>
        <w:t>.</w:t>
      </w:r>
    </w:p>
    <w:p w:rsidR="00D934F9" w:rsidRDefault="00D934F9" w:rsidP="00D934F9">
      <w:pPr>
        <w:jc w:val="both"/>
        <w:rPr>
          <w:sz w:val="24"/>
        </w:rPr>
      </w:pPr>
      <w:r>
        <w:rPr>
          <w:sz w:val="24"/>
        </w:rPr>
        <w:t>Ziel die</w:t>
      </w:r>
      <w:r w:rsidR="007C4492">
        <w:rPr>
          <w:sz w:val="24"/>
        </w:rPr>
        <w:t xml:space="preserve">ses </w:t>
      </w:r>
      <w:r w:rsidR="00F94381">
        <w:rPr>
          <w:sz w:val="24"/>
        </w:rPr>
        <w:t>Handlungsleitfadens</w:t>
      </w:r>
      <w:r w:rsidR="007C4492">
        <w:rPr>
          <w:sz w:val="24"/>
        </w:rPr>
        <w:t xml:space="preserve"> ist die strukturierte, stabile und abgestimmte</w:t>
      </w:r>
      <w:r>
        <w:rPr>
          <w:sz w:val="24"/>
        </w:rPr>
        <w:t xml:space="preserve"> Wiederinbetriebnahme de</w:t>
      </w:r>
      <w:r w:rsidR="009B3C55">
        <w:rPr>
          <w:sz w:val="24"/>
        </w:rPr>
        <w:t>r</w:t>
      </w:r>
      <w:r>
        <w:rPr>
          <w:sz w:val="24"/>
        </w:rPr>
        <w:t xml:space="preserve"> Gasnetze nach einem </w:t>
      </w:r>
      <w:r w:rsidR="007C4492">
        <w:rPr>
          <w:sz w:val="24"/>
        </w:rPr>
        <w:t>partiellen Ausfall</w:t>
      </w:r>
      <w:r>
        <w:rPr>
          <w:sz w:val="24"/>
        </w:rPr>
        <w:t>.</w:t>
      </w:r>
    </w:p>
    <w:p w:rsidR="00306267" w:rsidRDefault="00306267" w:rsidP="00D934F9">
      <w:pPr>
        <w:jc w:val="both"/>
        <w:rPr>
          <w:sz w:val="24"/>
        </w:rPr>
      </w:pPr>
      <w:r>
        <w:rPr>
          <w:sz w:val="24"/>
        </w:rPr>
        <w:t>Die Umsetzung dieses Handlungsleitfadens ist je nach Netzstruktur unternehmensspezifisch anzupassen.</w:t>
      </w:r>
    </w:p>
    <w:p w:rsidR="00C77E40" w:rsidRDefault="005D57D6" w:rsidP="00C77E40">
      <w:pPr>
        <w:pStyle w:val="berschrift1"/>
      </w:pPr>
      <w:bookmarkStart w:id="1" w:name="_Toc424130495"/>
      <w:r>
        <w:t>2</w:t>
      </w:r>
      <w:r w:rsidR="00C77E40">
        <w:t>. Ausgangssituation</w:t>
      </w:r>
      <w:bookmarkEnd w:id="1"/>
    </w:p>
    <w:p w:rsidR="00C77E40" w:rsidRPr="00C77E40" w:rsidRDefault="00C77E40" w:rsidP="00C77E40"/>
    <w:p w:rsidR="00436FB9" w:rsidRDefault="00436FB9" w:rsidP="00A01653">
      <w:pPr>
        <w:jc w:val="both"/>
        <w:rPr>
          <w:sz w:val="24"/>
        </w:rPr>
      </w:pPr>
      <w:r>
        <w:rPr>
          <w:sz w:val="24"/>
        </w:rPr>
        <w:t xml:space="preserve">Die Ausgangssituation sieht ein n-1 Szenario vor, also den Ausfall </w:t>
      </w:r>
      <w:r w:rsidR="00B42B47">
        <w:rPr>
          <w:sz w:val="24"/>
        </w:rPr>
        <w:t xml:space="preserve">der größten Infrastruktur </w:t>
      </w:r>
      <w:r w:rsidR="00A41DBB">
        <w:rPr>
          <w:sz w:val="24"/>
        </w:rPr>
        <w:t xml:space="preserve">zur Erdgasversorgung </w:t>
      </w:r>
      <w:r w:rsidR="00B42B47">
        <w:rPr>
          <w:sz w:val="24"/>
        </w:rPr>
        <w:t xml:space="preserve">im Netzgebiet </w:t>
      </w:r>
      <w:r w:rsidR="001C7F14">
        <w:rPr>
          <w:sz w:val="24"/>
        </w:rPr>
        <w:t xml:space="preserve">des </w:t>
      </w:r>
      <w:r w:rsidR="00E563E8">
        <w:rPr>
          <w:sz w:val="24"/>
        </w:rPr>
        <w:t>FNB</w:t>
      </w:r>
      <w:r w:rsidR="001C7F14">
        <w:rPr>
          <w:sz w:val="24"/>
        </w:rPr>
        <w:t>, hier der terranets bw</w:t>
      </w:r>
      <w:r w:rsidR="00B42B47">
        <w:rPr>
          <w:sz w:val="24"/>
        </w:rPr>
        <w:t xml:space="preserve">. </w:t>
      </w:r>
      <w:r w:rsidR="00A41DBB">
        <w:rPr>
          <w:sz w:val="24"/>
        </w:rPr>
        <w:t>Durch den Ausfall</w:t>
      </w:r>
      <w:r w:rsidR="00D934F9">
        <w:rPr>
          <w:sz w:val="24"/>
        </w:rPr>
        <w:t xml:space="preserve"> </w:t>
      </w:r>
      <w:r w:rsidR="002B04BF">
        <w:rPr>
          <w:sz w:val="24"/>
        </w:rPr>
        <w:t xml:space="preserve">ist es </w:t>
      </w:r>
      <w:r w:rsidR="00A41DBB">
        <w:rPr>
          <w:sz w:val="24"/>
        </w:rPr>
        <w:t xml:space="preserve">zu einem </w:t>
      </w:r>
      <w:r w:rsidR="002B04BF">
        <w:rPr>
          <w:sz w:val="24"/>
        </w:rPr>
        <w:t>Versorgungse</w:t>
      </w:r>
      <w:r w:rsidR="00A41DBB">
        <w:rPr>
          <w:sz w:val="24"/>
        </w:rPr>
        <w:t xml:space="preserve">ngpass </w:t>
      </w:r>
      <w:r w:rsidR="001C7F14">
        <w:rPr>
          <w:sz w:val="24"/>
        </w:rPr>
        <w:t xml:space="preserve">im Netzgebiet </w:t>
      </w:r>
      <w:r w:rsidR="00A41DBB">
        <w:rPr>
          <w:sz w:val="24"/>
        </w:rPr>
        <w:t>gekommen</w:t>
      </w:r>
      <w:r w:rsidR="00D934F9">
        <w:rPr>
          <w:sz w:val="24"/>
        </w:rPr>
        <w:t>, welcher bereits zwei Wochen andauert</w:t>
      </w:r>
      <w:r w:rsidR="00A41DBB">
        <w:rPr>
          <w:sz w:val="24"/>
        </w:rPr>
        <w:t xml:space="preserve">. </w:t>
      </w:r>
      <w:r>
        <w:rPr>
          <w:sz w:val="24"/>
        </w:rPr>
        <w:t xml:space="preserve">§ 16 Abs. 1 und Abs. 2 EnWG </w:t>
      </w:r>
      <w:r w:rsidR="00D934F9">
        <w:rPr>
          <w:sz w:val="24"/>
        </w:rPr>
        <w:t>wurde</w:t>
      </w:r>
      <w:r w:rsidR="00B42B47">
        <w:rPr>
          <w:sz w:val="24"/>
        </w:rPr>
        <w:t xml:space="preserve"> </w:t>
      </w:r>
      <w:r w:rsidR="001C7F14">
        <w:rPr>
          <w:sz w:val="24"/>
        </w:rPr>
        <w:t xml:space="preserve">vom </w:t>
      </w:r>
      <w:r w:rsidR="00E563E8">
        <w:rPr>
          <w:sz w:val="24"/>
        </w:rPr>
        <w:t>FNB</w:t>
      </w:r>
      <w:r w:rsidR="001C7F14">
        <w:rPr>
          <w:sz w:val="24"/>
        </w:rPr>
        <w:t xml:space="preserve"> </w:t>
      </w:r>
      <w:r w:rsidR="00B42B47">
        <w:rPr>
          <w:sz w:val="24"/>
        </w:rPr>
        <w:t>gezogen</w:t>
      </w:r>
      <w:r>
        <w:rPr>
          <w:sz w:val="24"/>
        </w:rPr>
        <w:t>, der Engpass</w:t>
      </w:r>
      <w:r w:rsidR="00A41DBB">
        <w:rPr>
          <w:sz w:val="24"/>
        </w:rPr>
        <w:t xml:space="preserve"> konnte</w:t>
      </w:r>
      <w:r>
        <w:rPr>
          <w:sz w:val="24"/>
        </w:rPr>
        <w:t xml:space="preserve"> dadurch aber nicht behoben werden. </w:t>
      </w:r>
      <w:r w:rsidR="00C170E6">
        <w:rPr>
          <w:sz w:val="24"/>
        </w:rPr>
        <w:t xml:space="preserve">Es ist zu einem </w:t>
      </w:r>
      <w:r>
        <w:rPr>
          <w:sz w:val="24"/>
        </w:rPr>
        <w:t xml:space="preserve">Ausfall von </w:t>
      </w:r>
      <w:r w:rsidR="002B04BF">
        <w:rPr>
          <w:sz w:val="24"/>
        </w:rPr>
        <w:t>Gasverbrauch</w:t>
      </w:r>
      <w:r w:rsidR="001536E8">
        <w:rPr>
          <w:sz w:val="24"/>
        </w:rPr>
        <w:t>seinrichtungen</w:t>
      </w:r>
      <w:r>
        <w:rPr>
          <w:sz w:val="24"/>
        </w:rPr>
        <w:t xml:space="preserve"> wegen Druckunterschreitung</w:t>
      </w:r>
      <w:r w:rsidR="00C170E6">
        <w:rPr>
          <w:sz w:val="24"/>
        </w:rPr>
        <w:t xml:space="preserve"> gekommen</w:t>
      </w:r>
      <w:r>
        <w:rPr>
          <w:sz w:val="24"/>
        </w:rPr>
        <w:t>.</w:t>
      </w:r>
      <w:r w:rsidR="00730751">
        <w:rPr>
          <w:sz w:val="24"/>
        </w:rPr>
        <w:t xml:space="preserve"> V</w:t>
      </w:r>
      <w:r w:rsidR="00E9448F">
        <w:rPr>
          <w:sz w:val="24"/>
        </w:rPr>
        <w:t xml:space="preserve">ertragliche Drücke konnten vom </w:t>
      </w:r>
      <w:r w:rsidR="00E563E8">
        <w:rPr>
          <w:sz w:val="24"/>
        </w:rPr>
        <w:t xml:space="preserve">FNB </w:t>
      </w:r>
      <w:r w:rsidR="005B00B0">
        <w:rPr>
          <w:sz w:val="24"/>
        </w:rPr>
        <w:t xml:space="preserve">nicht mehr </w:t>
      </w:r>
      <w:r w:rsidR="003819F1">
        <w:rPr>
          <w:sz w:val="24"/>
        </w:rPr>
        <w:t>ein</w:t>
      </w:r>
      <w:r w:rsidR="005B00B0">
        <w:rPr>
          <w:sz w:val="24"/>
        </w:rPr>
        <w:t>gehalten werden.</w:t>
      </w:r>
      <w:r w:rsidR="00730751">
        <w:rPr>
          <w:sz w:val="24"/>
        </w:rPr>
        <w:t xml:space="preserve"> </w:t>
      </w:r>
      <w:r w:rsidR="00984F1A">
        <w:rPr>
          <w:sz w:val="24"/>
        </w:rPr>
        <w:t xml:space="preserve">Große </w:t>
      </w:r>
      <w:r w:rsidR="002B04BF">
        <w:rPr>
          <w:sz w:val="24"/>
        </w:rPr>
        <w:t>Teile der</w:t>
      </w:r>
      <w:r w:rsidR="005B00B0">
        <w:rPr>
          <w:sz w:val="24"/>
        </w:rPr>
        <w:t xml:space="preserve"> </w:t>
      </w:r>
      <w:r w:rsidR="00730751">
        <w:rPr>
          <w:sz w:val="24"/>
        </w:rPr>
        <w:t>geschütz</w:t>
      </w:r>
      <w:r w:rsidR="002B04BF">
        <w:rPr>
          <w:sz w:val="24"/>
        </w:rPr>
        <w:t xml:space="preserve">ten Kunden </w:t>
      </w:r>
      <w:r w:rsidR="00D934F9">
        <w:rPr>
          <w:sz w:val="24"/>
        </w:rPr>
        <w:t xml:space="preserve">i.S.d. § 53a EnWG </w:t>
      </w:r>
      <w:r w:rsidR="002B04BF">
        <w:rPr>
          <w:sz w:val="24"/>
        </w:rPr>
        <w:t xml:space="preserve">konnten </w:t>
      </w:r>
      <w:r w:rsidR="003A0804">
        <w:rPr>
          <w:sz w:val="24"/>
        </w:rPr>
        <w:t xml:space="preserve">anfangs </w:t>
      </w:r>
      <w:r w:rsidR="002B04BF">
        <w:rPr>
          <w:sz w:val="24"/>
        </w:rPr>
        <w:t>nicht mehr versorgt werden</w:t>
      </w:r>
      <w:r w:rsidR="005B00B0">
        <w:rPr>
          <w:sz w:val="24"/>
        </w:rPr>
        <w:t>.</w:t>
      </w:r>
      <w:r w:rsidR="003A0804">
        <w:rPr>
          <w:sz w:val="24"/>
        </w:rPr>
        <w:t xml:space="preserve"> Deshalb musste der </w:t>
      </w:r>
      <w:r w:rsidR="00AC47F8">
        <w:rPr>
          <w:sz w:val="24"/>
        </w:rPr>
        <w:t>VNB noch</w:t>
      </w:r>
      <w:r w:rsidR="003A0804">
        <w:rPr>
          <w:sz w:val="24"/>
        </w:rPr>
        <w:t xml:space="preserve"> versorgte, nicht geschützte Kunden abschalten, damit geschützte Kunden wieder versorgt werden konnten.</w:t>
      </w:r>
      <w:r w:rsidR="006745C3">
        <w:rPr>
          <w:sz w:val="24"/>
        </w:rPr>
        <w:t xml:space="preserve"> Dennoch konnten nicht alle geschützten Kunden versorgt werden.</w:t>
      </w:r>
    </w:p>
    <w:p w:rsidR="00AD7F6D" w:rsidRDefault="001836C7" w:rsidP="00AD7F6D">
      <w:pPr>
        <w:pStyle w:val="berschrift1"/>
      </w:pPr>
      <w:bookmarkStart w:id="2" w:name="_Toc424130496"/>
      <w:r>
        <w:t>3</w:t>
      </w:r>
      <w:r w:rsidR="00AD7F6D">
        <w:t>. Vorbereitende Maßnahmen</w:t>
      </w:r>
      <w:bookmarkEnd w:id="2"/>
    </w:p>
    <w:p w:rsidR="00AD7F6D" w:rsidRPr="00AD7F6D" w:rsidRDefault="00AD7F6D" w:rsidP="00AD7F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158"/>
      </w:tblGrid>
      <w:tr w:rsidR="00AD7F6D" w:rsidTr="00702754">
        <w:tc>
          <w:tcPr>
            <w:tcW w:w="675" w:type="dxa"/>
            <w:shd w:val="clear" w:color="auto" w:fill="FFC000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shd w:val="clear" w:color="auto" w:fill="FFC000"/>
          </w:tcPr>
          <w:p w:rsidR="00AD7F6D" w:rsidRPr="00A9199E" w:rsidRDefault="00AD7F6D" w:rsidP="00A9199E">
            <w:pPr>
              <w:jc w:val="center"/>
              <w:rPr>
                <w:b/>
                <w:sz w:val="24"/>
              </w:rPr>
            </w:pPr>
            <w:r w:rsidRPr="00A9199E">
              <w:rPr>
                <w:b/>
                <w:sz w:val="24"/>
              </w:rPr>
              <w:t>Maßnahme</w:t>
            </w:r>
          </w:p>
        </w:tc>
        <w:tc>
          <w:tcPr>
            <w:tcW w:w="2158" w:type="dxa"/>
            <w:shd w:val="clear" w:color="auto" w:fill="FFC000"/>
          </w:tcPr>
          <w:p w:rsidR="00AD7F6D" w:rsidRPr="00A9199E" w:rsidRDefault="00AD7F6D" w:rsidP="00A9199E">
            <w:pPr>
              <w:jc w:val="center"/>
              <w:rPr>
                <w:b/>
                <w:sz w:val="24"/>
              </w:rPr>
            </w:pPr>
            <w:r w:rsidRPr="00A9199E">
              <w:rPr>
                <w:b/>
                <w:sz w:val="24"/>
              </w:rPr>
              <w:t>Ist erfolgt</w:t>
            </w:r>
            <w:r w:rsidRPr="00A9199E">
              <w:rPr>
                <w:b/>
                <w:sz w:val="24"/>
              </w:rPr>
              <w:br/>
              <w:t>Durch wen/wann?</w:t>
            </w:r>
          </w:p>
        </w:tc>
      </w:tr>
      <w:tr w:rsidR="000906E8" w:rsidTr="00702754">
        <w:tc>
          <w:tcPr>
            <w:tcW w:w="675" w:type="dxa"/>
          </w:tcPr>
          <w:p w:rsidR="000906E8" w:rsidRPr="00A9199E" w:rsidRDefault="000906E8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79" w:type="dxa"/>
          </w:tcPr>
          <w:p w:rsidR="00FE4C0B" w:rsidRDefault="000906E8" w:rsidP="00A016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Bewertung der Versorgungssicherheit </w:t>
            </w:r>
            <w:r w:rsidR="00CC0DD6">
              <w:rPr>
                <w:sz w:val="24"/>
              </w:rPr>
              <w:t>im nachgelagerten Netz bei Unterschreitung des gara</w:t>
            </w:r>
            <w:r w:rsidR="009A45C7">
              <w:rPr>
                <w:sz w:val="24"/>
              </w:rPr>
              <w:t>ntierten Mindestdrucks durch den vorgelagerten Netzbetreiber</w:t>
            </w:r>
            <w:r w:rsidR="00CC0DD6">
              <w:rPr>
                <w:sz w:val="24"/>
              </w:rPr>
              <w:t xml:space="preserve"> </w:t>
            </w:r>
            <w:r>
              <w:rPr>
                <w:sz w:val="24"/>
              </w:rPr>
              <w:t>(Rohr</w:t>
            </w:r>
            <w:r w:rsidR="00FE4C0B">
              <w:rPr>
                <w:sz w:val="24"/>
              </w:rPr>
              <w:t xml:space="preserve">netzberechnung, Lastverteilung, </w:t>
            </w:r>
            <w:r>
              <w:rPr>
                <w:sz w:val="24"/>
              </w:rPr>
              <w:t>Mindestdruck</w:t>
            </w:r>
            <w:r w:rsidR="00FE4C0B">
              <w:rPr>
                <w:sz w:val="24"/>
              </w:rPr>
              <w:t>, etc.)</w:t>
            </w:r>
            <w:r w:rsidR="00FE4C0B">
              <w:rPr>
                <w:sz w:val="24"/>
              </w:rPr>
              <w:br/>
              <w:t xml:space="preserve">- </w:t>
            </w:r>
            <w:r w:rsidR="00CC0DD6">
              <w:rPr>
                <w:sz w:val="24"/>
              </w:rPr>
              <w:t>Welche Kunden</w:t>
            </w:r>
            <w:r w:rsidR="00FE4C0B">
              <w:rPr>
                <w:sz w:val="24"/>
              </w:rPr>
              <w:t xml:space="preserve"> können noch versorgt werden?</w:t>
            </w:r>
          </w:p>
          <w:p w:rsidR="000906E8" w:rsidRPr="00FE4C0B" w:rsidRDefault="00FE4C0B" w:rsidP="00FE4C0B">
            <w:pPr>
              <w:jc w:val="both"/>
              <w:rPr>
                <w:sz w:val="24"/>
              </w:rPr>
            </w:pPr>
            <w:r w:rsidRPr="00FE4C0B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CC0DD6" w:rsidRPr="00FE4C0B">
              <w:rPr>
                <w:sz w:val="24"/>
              </w:rPr>
              <w:t>In welchen Netzgebieten wird es keine Probleme geben?</w:t>
            </w:r>
          </w:p>
        </w:tc>
        <w:tc>
          <w:tcPr>
            <w:tcW w:w="2158" w:type="dxa"/>
          </w:tcPr>
          <w:p w:rsidR="000906E8" w:rsidRDefault="000906E8" w:rsidP="00A01653">
            <w:pPr>
              <w:jc w:val="both"/>
              <w:rPr>
                <w:sz w:val="24"/>
              </w:rPr>
            </w:pPr>
          </w:p>
        </w:tc>
      </w:tr>
      <w:tr w:rsidR="00AD7F6D" w:rsidTr="00702754">
        <w:tc>
          <w:tcPr>
            <w:tcW w:w="675" w:type="dxa"/>
          </w:tcPr>
          <w:p w:rsidR="00AD7F6D" w:rsidRPr="00A9199E" w:rsidRDefault="000906E8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36B4C">
              <w:rPr>
                <w:b/>
                <w:sz w:val="24"/>
              </w:rPr>
              <w:t>.</w:t>
            </w:r>
          </w:p>
        </w:tc>
        <w:tc>
          <w:tcPr>
            <w:tcW w:w="6379" w:type="dxa"/>
          </w:tcPr>
          <w:p w:rsidR="00AD7F6D" w:rsidRDefault="00CC0DD6" w:rsidP="00CC0DD6">
            <w:pPr>
              <w:jc w:val="both"/>
              <w:rPr>
                <w:sz w:val="24"/>
              </w:rPr>
            </w:pPr>
            <w:r>
              <w:rPr>
                <w:sz w:val="24"/>
              </w:rPr>
              <w:t>Regelmäßige Pflege der Kontaktdaten-/Adressliste von RLM Kunden</w:t>
            </w:r>
            <w:r w:rsidR="00281378">
              <w:rPr>
                <w:sz w:val="24"/>
              </w:rPr>
              <w:t xml:space="preserve"> bzw. nichtgeschützte Kunden (ggf. Information über ein mögliches Szenario und seine Folgen) </w:t>
            </w:r>
          </w:p>
        </w:tc>
        <w:tc>
          <w:tcPr>
            <w:tcW w:w="2158" w:type="dxa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</w:tr>
      <w:tr w:rsidR="00AD7F6D" w:rsidTr="00702754">
        <w:tc>
          <w:tcPr>
            <w:tcW w:w="675" w:type="dxa"/>
          </w:tcPr>
          <w:p w:rsidR="00AD7F6D" w:rsidRPr="00A9199E" w:rsidRDefault="000906E8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79" w:type="dxa"/>
          </w:tcPr>
          <w:p w:rsidR="00AD7F6D" w:rsidRDefault="00CC0DD6" w:rsidP="00A016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Personelle </w:t>
            </w:r>
            <w:r w:rsidR="007464B2">
              <w:rPr>
                <w:sz w:val="24"/>
              </w:rPr>
              <w:t xml:space="preserve">und organisatorische </w:t>
            </w:r>
            <w:r>
              <w:rPr>
                <w:sz w:val="24"/>
              </w:rPr>
              <w:t>Einsatzplanung</w:t>
            </w:r>
            <w:r w:rsidR="00AE7A92">
              <w:rPr>
                <w:sz w:val="24"/>
              </w:rPr>
              <w:t xml:space="preserve"> über das „DVGW </w:t>
            </w:r>
            <w:r w:rsidR="00D13F27">
              <w:rPr>
                <w:sz w:val="24"/>
              </w:rPr>
              <w:t xml:space="preserve">Arbeitsblatt </w:t>
            </w:r>
            <w:r w:rsidR="00AE7A92">
              <w:rPr>
                <w:sz w:val="24"/>
              </w:rPr>
              <w:t>GW 1200“ hinaus</w:t>
            </w:r>
            <w:r w:rsidR="004B7736">
              <w:rPr>
                <w:sz w:val="24"/>
              </w:rPr>
              <w:t xml:space="preserve"> (Netzleitwarte/Meldestelle aufstocken, Krisentelefon zur </w:t>
            </w:r>
            <w:r w:rsidR="004B7736">
              <w:rPr>
                <w:sz w:val="24"/>
              </w:rPr>
              <w:lastRenderedPageBreak/>
              <w:t>externen Kommunikation mit Kunden)</w:t>
            </w:r>
          </w:p>
        </w:tc>
        <w:tc>
          <w:tcPr>
            <w:tcW w:w="2158" w:type="dxa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</w:tr>
      <w:tr w:rsidR="00AD7F6D" w:rsidTr="00702754">
        <w:tc>
          <w:tcPr>
            <w:tcW w:w="675" w:type="dxa"/>
          </w:tcPr>
          <w:p w:rsidR="00AD7F6D" w:rsidRPr="00A9199E" w:rsidRDefault="00CC0DD6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6379" w:type="dxa"/>
          </w:tcPr>
          <w:p w:rsidR="00AD7F6D" w:rsidRDefault="00EA3A1E" w:rsidP="00CC0D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Information und </w:t>
            </w:r>
            <w:r w:rsidR="008C0541">
              <w:rPr>
                <w:sz w:val="24"/>
              </w:rPr>
              <w:t xml:space="preserve">Erstellung einer </w:t>
            </w:r>
            <w:r w:rsidR="00CC0DD6">
              <w:rPr>
                <w:sz w:val="24"/>
              </w:rPr>
              <w:t xml:space="preserve">Liste der </w:t>
            </w:r>
            <w:r w:rsidR="008C0541">
              <w:rPr>
                <w:sz w:val="24"/>
              </w:rPr>
              <w:t xml:space="preserve">für die Situation einsetzbaren </w:t>
            </w:r>
            <w:r w:rsidR="00CC0DD6">
              <w:rPr>
                <w:sz w:val="24"/>
              </w:rPr>
              <w:t>Vertragsinstallateure</w:t>
            </w:r>
          </w:p>
        </w:tc>
        <w:tc>
          <w:tcPr>
            <w:tcW w:w="2158" w:type="dxa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</w:tr>
      <w:tr w:rsidR="00D4235F" w:rsidTr="00702754">
        <w:tc>
          <w:tcPr>
            <w:tcW w:w="675" w:type="dxa"/>
          </w:tcPr>
          <w:p w:rsidR="00D4235F" w:rsidRPr="00A9199E" w:rsidRDefault="00CC0DD6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79" w:type="dxa"/>
          </w:tcPr>
          <w:p w:rsidR="00D4235F" w:rsidRDefault="009132DD" w:rsidP="00DF702A">
            <w:pPr>
              <w:rPr>
                <w:sz w:val="24"/>
              </w:rPr>
            </w:pPr>
            <w:r>
              <w:rPr>
                <w:sz w:val="24"/>
              </w:rPr>
              <w:t xml:space="preserve">Regelmäßige </w:t>
            </w:r>
            <w:r w:rsidR="00CC0DD6">
              <w:rPr>
                <w:sz w:val="24"/>
              </w:rPr>
              <w:t>Prüfung der Auswertungsmöglichkeiten des Betriebsmittelinformationssystems (z.B. unternehmens</w:t>
            </w:r>
            <w:r w:rsidR="001E5184">
              <w:rPr>
                <w:sz w:val="24"/>
              </w:rPr>
              <w:t>-</w:t>
            </w:r>
            <w:r w:rsidR="00CC0DD6">
              <w:rPr>
                <w:sz w:val="24"/>
              </w:rPr>
              <w:t>spezifisches GIS, Rohrnetzberechnungsprogramm)</w:t>
            </w:r>
          </w:p>
        </w:tc>
        <w:tc>
          <w:tcPr>
            <w:tcW w:w="2158" w:type="dxa"/>
          </w:tcPr>
          <w:p w:rsidR="00D4235F" w:rsidRDefault="00D4235F" w:rsidP="00A01653">
            <w:pPr>
              <w:jc w:val="both"/>
              <w:rPr>
                <w:sz w:val="24"/>
              </w:rPr>
            </w:pPr>
          </w:p>
        </w:tc>
      </w:tr>
      <w:tr w:rsidR="00D4235F" w:rsidTr="00702754">
        <w:tc>
          <w:tcPr>
            <w:tcW w:w="675" w:type="dxa"/>
          </w:tcPr>
          <w:p w:rsidR="00D4235F" w:rsidRPr="00A9199E" w:rsidRDefault="007405AF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379" w:type="dxa"/>
          </w:tcPr>
          <w:p w:rsidR="00D4235F" w:rsidRDefault="007405AF" w:rsidP="00A01653">
            <w:pPr>
              <w:jc w:val="both"/>
              <w:rPr>
                <w:sz w:val="24"/>
              </w:rPr>
            </w:pPr>
            <w:r>
              <w:rPr>
                <w:sz w:val="24"/>
              </w:rPr>
              <w:t>Auswertung der Prüfung hinsichtlich kritischer Versorgungsbereiche (z.B. Ausfallpotenzial geschützter Kunden)</w:t>
            </w:r>
          </w:p>
        </w:tc>
        <w:tc>
          <w:tcPr>
            <w:tcW w:w="2158" w:type="dxa"/>
          </w:tcPr>
          <w:p w:rsidR="00D4235F" w:rsidRDefault="00D4235F" w:rsidP="00A01653">
            <w:pPr>
              <w:jc w:val="both"/>
              <w:rPr>
                <w:sz w:val="24"/>
              </w:rPr>
            </w:pPr>
          </w:p>
        </w:tc>
      </w:tr>
      <w:tr w:rsidR="00AD7F6D" w:rsidTr="00702754">
        <w:tc>
          <w:tcPr>
            <w:tcW w:w="675" w:type="dxa"/>
          </w:tcPr>
          <w:p w:rsidR="00AD7F6D" w:rsidRPr="00A9199E" w:rsidRDefault="007464B2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379" w:type="dxa"/>
          </w:tcPr>
          <w:p w:rsidR="00AD7F6D" w:rsidRDefault="008D6E3C" w:rsidP="00A016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Grundlage zur </w:t>
            </w:r>
            <w:r w:rsidR="007464B2">
              <w:rPr>
                <w:sz w:val="24"/>
              </w:rPr>
              <w:t>Dokumentation des Ablaufes (z.B. Einsatztagebuch</w:t>
            </w:r>
            <w:r w:rsidR="0089193B">
              <w:rPr>
                <w:sz w:val="24"/>
              </w:rPr>
              <w:t>, Störungsmanagementsystem</w:t>
            </w:r>
            <w:r w:rsidR="004B7736">
              <w:rPr>
                <w:sz w:val="24"/>
              </w:rPr>
              <w:t>, Excel-Template</w:t>
            </w:r>
            <w:r w:rsidR="007464B2">
              <w:rPr>
                <w:sz w:val="24"/>
              </w:rPr>
              <w:t>)</w:t>
            </w:r>
          </w:p>
        </w:tc>
        <w:tc>
          <w:tcPr>
            <w:tcW w:w="2158" w:type="dxa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</w:tr>
      <w:tr w:rsidR="00AD7F6D" w:rsidTr="00702754">
        <w:tc>
          <w:tcPr>
            <w:tcW w:w="675" w:type="dxa"/>
          </w:tcPr>
          <w:p w:rsidR="00AD7F6D" w:rsidRPr="00A9199E" w:rsidRDefault="00124BC6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379" w:type="dxa"/>
          </w:tcPr>
          <w:p w:rsidR="00AD7F6D" w:rsidRDefault="00124BC6" w:rsidP="005A11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Betriebs- und Wartungsplan für die Anlagen in kritischen Versorgungsbereichen </w:t>
            </w:r>
            <w:r w:rsidR="005A110E">
              <w:rPr>
                <w:sz w:val="24"/>
              </w:rPr>
              <w:t>gemäß Auswertung</w:t>
            </w:r>
            <w:r>
              <w:rPr>
                <w:sz w:val="24"/>
              </w:rPr>
              <w:t xml:space="preserve"> für den Zeitraum der Krise  (Filterüberwachung, Verschleiß)</w:t>
            </w:r>
          </w:p>
        </w:tc>
        <w:tc>
          <w:tcPr>
            <w:tcW w:w="2158" w:type="dxa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</w:tr>
      <w:tr w:rsidR="00AD7F6D" w:rsidTr="00702754">
        <w:tc>
          <w:tcPr>
            <w:tcW w:w="675" w:type="dxa"/>
          </w:tcPr>
          <w:p w:rsidR="00AD7F6D" w:rsidRPr="00A9199E" w:rsidRDefault="005A4AB4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379" w:type="dxa"/>
          </w:tcPr>
          <w:p w:rsidR="00AD7F6D" w:rsidRDefault="00306267" w:rsidP="00A01653">
            <w:pPr>
              <w:jc w:val="both"/>
              <w:rPr>
                <w:sz w:val="24"/>
              </w:rPr>
            </w:pPr>
            <w:r>
              <w:rPr>
                <w:sz w:val="24"/>
              </w:rPr>
              <w:t>Erstellung eines unternehmensspezifischen Wiederinbetriebnahmeplans</w:t>
            </w:r>
            <w:r w:rsidR="00C657E9">
              <w:rPr>
                <w:sz w:val="24"/>
              </w:rPr>
              <w:t xml:space="preserve"> (z.B. Druckstufen berücksichtigen, Fließgeschwindigkeit, Inbetriebnahmereihenfolge)</w:t>
            </w:r>
          </w:p>
        </w:tc>
        <w:tc>
          <w:tcPr>
            <w:tcW w:w="2158" w:type="dxa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</w:tr>
      <w:tr w:rsidR="00AD7F6D" w:rsidTr="00702754">
        <w:tc>
          <w:tcPr>
            <w:tcW w:w="675" w:type="dxa"/>
          </w:tcPr>
          <w:p w:rsidR="00AD7F6D" w:rsidRPr="00A9199E" w:rsidRDefault="007408A6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379" w:type="dxa"/>
          </w:tcPr>
          <w:p w:rsidR="00AD7F6D" w:rsidRDefault="00C43824" w:rsidP="00A016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Gegebenenfalls </w:t>
            </w:r>
            <w:r w:rsidR="007408A6">
              <w:rPr>
                <w:sz w:val="24"/>
              </w:rPr>
              <w:t>Aktualisierung der Netzanschlussverträge (insbesondere im Hinblick auf Kontaktdaten)</w:t>
            </w:r>
          </w:p>
        </w:tc>
        <w:tc>
          <w:tcPr>
            <w:tcW w:w="2158" w:type="dxa"/>
          </w:tcPr>
          <w:p w:rsidR="00AD7F6D" w:rsidRDefault="00AD7F6D" w:rsidP="00A01653">
            <w:pPr>
              <w:jc w:val="both"/>
              <w:rPr>
                <w:sz w:val="24"/>
              </w:rPr>
            </w:pPr>
          </w:p>
        </w:tc>
      </w:tr>
      <w:tr w:rsidR="00EF0540" w:rsidTr="00702754">
        <w:tc>
          <w:tcPr>
            <w:tcW w:w="675" w:type="dxa"/>
          </w:tcPr>
          <w:p w:rsidR="00EF0540" w:rsidRDefault="00C43824" w:rsidP="00A016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379" w:type="dxa"/>
          </w:tcPr>
          <w:p w:rsidR="00EF0540" w:rsidRDefault="00994CC9" w:rsidP="00A016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Prüfung der Gasbezugsanlage mit Odorierung auf Belastbarkeit/Funktion</w:t>
            </w:r>
            <w:r w:rsidR="00681318">
              <w:rPr>
                <w:sz w:val="24"/>
              </w:rPr>
              <w:t xml:space="preserve"> (Abhängigkeit Messung/Messimpuls Odorieranlage)</w:t>
            </w:r>
          </w:p>
        </w:tc>
        <w:tc>
          <w:tcPr>
            <w:tcW w:w="2158" w:type="dxa"/>
          </w:tcPr>
          <w:p w:rsidR="00EF0540" w:rsidRDefault="00EF0540" w:rsidP="00A01653">
            <w:pPr>
              <w:jc w:val="both"/>
              <w:rPr>
                <w:sz w:val="24"/>
              </w:rPr>
            </w:pPr>
          </w:p>
        </w:tc>
      </w:tr>
      <w:tr w:rsidR="001D643C" w:rsidTr="00702754">
        <w:tc>
          <w:tcPr>
            <w:tcW w:w="675" w:type="dxa"/>
          </w:tcPr>
          <w:p w:rsidR="001D643C" w:rsidRPr="00A9199E" w:rsidRDefault="001D643C" w:rsidP="00A01653">
            <w:pPr>
              <w:jc w:val="both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1D643C" w:rsidRDefault="001D643C" w:rsidP="00A01653">
            <w:pPr>
              <w:jc w:val="both"/>
              <w:rPr>
                <w:sz w:val="24"/>
              </w:rPr>
            </w:pPr>
          </w:p>
        </w:tc>
        <w:tc>
          <w:tcPr>
            <w:tcW w:w="2158" w:type="dxa"/>
          </w:tcPr>
          <w:p w:rsidR="001D643C" w:rsidRDefault="001D643C" w:rsidP="00A01653">
            <w:pPr>
              <w:jc w:val="both"/>
              <w:rPr>
                <w:sz w:val="24"/>
              </w:rPr>
            </w:pPr>
          </w:p>
        </w:tc>
      </w:tr>
      <w:tr w:rsidR="00AE141F" w:rsidTr="00702754">
        <w:tc>
          <w:tcPr>
            <w:tcW w:w="675" w:type="dxa"/>
          </w:tcPr>
          <w:p w:rsidR="00AE141F" w:rsidRPr="00A9199E" w:rsidRDefault="00AE141F" w:rsidP="00A01653">
            <w:pPr>
              <w:jc w:val="both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AE141F" w:rsidRDefault="00AE141F" w:rsidP="00A01653">
            <w:pPr>
              <w:jc w:val="both"/>
              <w:rPr>
                <w:sz w:val="24"/>
              </w:rPr>
            </w:pPr>
          </w:p>
        </w:tc>
        <w:tc>
          <w:tcPr>
            <w:tcW w:w="2158" w:type="dxa"/>
          </w:tcPr>
          <w:p w:rsidR="00AE141F" w:rsidRDefault="00AE141F" w:rsidP="00A01653">
            <w:pPr>
              <w:jc w:val="both"/>
              <w:rPr>
                <w:sz w:val="24"/>
              </w:rPr>
            </w:pPr>
          </w:p>
        </w:tc>
      </w:tr>
      <w:tr w:rsidR="00AE141F" w:rsidTr="00702754">
        <w:tc>
          <w:tcPr>
            <w:tcW w:w="675" w:type="dxa"/>
          </w:tcPr>
          <w:p w:rsidR="00AE141F" w:rsidRPr="00A9199E" w:rsidRDefault="00AE141F" w:rsidP="00A01653">
            <w:pPr>
              <w:jc w:val="both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AE141F" w:rsidRDefault="00AE141F" w:rsidP="00A01653">
            <w:pPr>
              <w:jc w:val="both"/>
              <w:rPr>
                <w:sz w:val="24"/>
              </w:rPr>
            </w:pPr>
          </w:p>
        </w:tc>
        <w:tc>
          <w:tcPr>
            <w:tcW w:w="2158" w:type="dxa"/>
          </w:tcPr>
          <w:p w:rsidR="00AE141F" w:rsidRDefault="00AE141F" w:rsidP="00A01653">
            <w:pPr>
              <w:jc w:val="both"/>
              <w:rPr>
                <w:sz w:val="24"/>
              </w:rPr>
            </w:pPr>
          </w:p>
        </w:tc>
      </w:tr>
    </w:tbl>
    <w:p w:rsidR="00AD7F6D" w:rsidRDefault="00AD7F6D" w:rsidP="00A01653">
      <w:pPr>
        <w:jc w:val="both"/>
        <w:rPr>
          <w:sz w:val="24"/>
        </w:rPr>
      </w:pPr>
    </w:p>
    <w:p w:rsidR="00D54952" w:rsidRDefault="001836C7" w:rsidP="00D54952">
      <w:pPr>
        <w:pStyle w:val="berschrift1"/>
      </w:pPr>
      <w:bookmarkStart w:id="3" w:name="_Toc424130497"/>
      <w:r>
        <w:t>4</w:t>
      </w:r>
      <w:r w:rsidR="00D54952">
        <w:t xml:space="preserve">. </w:t>
      </w:r>
      <w:r w:rsidR="00CD6BC9">
        <w:t>Wiedererreichen des Normalzustands/Netzaufbau</w:t>
      </w:r>
      <w:bookmarkEnd w:id="3"/>
    </w:p>
    <w:p w:rsidR="003251A7" w:rsidRDefault="001836C7" w:rsidP="003251A7">
      <w:pPr>
        <w:pStyle w:val="berschrift1"/>
      </w:pPr>
      <w:bookmarkStart w:id="4" w:name="_Toc424130498"/>
      <w:r>
        <w:t>4</w:t>
      </w:r>
      <w:r w:rsidR="003251A7">
        <w:t>.1. Lage</w:t>
      </w:r>
      <w:r w:rsidR="006030C3">
        <w:t xml:space="preserve"> nach Engpass</w:t>
      </w:r>
      <w:bookmarkEnd w:id="4"/>
    </w:p>
    <w:p w:rsidR="00A9199E" w:rsidRPr="00A9199E" w:rsidRDefault="00A9199E" w:rsidP="00C33803">
      <w:pPr>
        <w:jc w:val="both"/>
      </w:pPr>
    </w:p>
    <w:p w:rsidR="003251A7" w:rsidRDefault="003251A7" w:rsidP="00C33803">
      <w:pPr>
        <w:jc w:val="both"/>
        <w:rPr>
          <w:sz w:val="24"/>
        </w:rPr>
      </w:pPr>
      <w:r w:rsidRPr="00163C56">
        <w:rPr>
          <w:sz w:val="24"/>
        </w:rPr>
        <w:t>Die größte Infrastruktur steht wieder zur Verfügung und es besteht kein Engpass mehr. Die Maßnahmen nach § 16 EnWG werden aufgehoben</w:t>
      </w:r>
      <w:r w:rsidR="00C93CAB">
        <w:rPr>
          <w:sz w:val="24"/>
        </w:rPr>
        <w:t xml:space="preserve">. Die </w:t>
      </w:r>
      <w:r w:rsidR="002979DF">
        <w:rPr>
          <w:sz w:val="24"/>
        </w:rPr>
        <w:t>erforderlichen Kapazitäten und vertraglichen Drücke können vom FNB wieder vertragskonform dargestellt werden, so dass eine Versorgung der zuvor abgeschalteten Kunden wieder möglich ist.</w:t>
      </w:r>
    </w:p>
    <w:p w:rsidR="00702754" w:rsidRDefault="00702754" w:rsidP="003251A7">
      <w:pPr>
        <w:pStyle w:val="berschrift1"/>
      </w:pPr>
      <w:bookmarkStart w:id="5" w:name="_Toc424130499"/>
    </w:p>
    <w:p w:rsidR="00702754" w:rsidRDefault="00702754" w:rsidP="00702754"/>
    <w:p w:rsidR="00702754" w:rsidRPr="00702754" w:rsidRDefault="00702754" w:rsidP="00702754"/>
    <w:p w:rsidR="003251A7" w:rsidRDefault="001836C7" w:rsidP="003251A7">
      <w:pPr>
        <w:pStyle w:val="berschrift1"/>
      </w:pPr>
      <w:r>
        <w:lastRenderedPageBreak/>
        <w:t>4</w:t>
      </w:r>
      <w:r w:rsidR="003251A7">
        <w:t xml:space="preserve">.2. </w:t>
      </w:r>
      <w:r w:rsidR="00725562">
        <w:t>Op</w:t>
      </w:r>
      <w:bookmarkStart w:id="6" w:name="_GoBack"/>
      <w:bookmarkEnd w:id="6"/>
      <w:r w:rsidR="00725562">
        <w:t xml:space="preserve">eratives </w:t>
      </w:r>
      <w:r w:rsidR="003251A7">
        <w:t>Vorgehen der VNB</w:t>
      </w:r>
      <w:r w:rsidR="00FF0157">
        <w:t>/FNB</w:t>
      </w:r>
      <w:bookmarkEnd w:id="5"/>
    </w:p>
    <w:p w:rsidR="0091055E" w:rsidRDefault="0091055E" w:rsidP="00C33803">
      <w:pPr>
        <w:jc w:val="both"/>
        <w:rPr>
          <w:sz w:val="24"/>
        </w:rPr>
      </w:pPr>
    </w:p>
    <w:p w:rsidR="0057082C" w:rsidRPr="00A9199E" w:rsidRDefault="0057082C" w:rsidP="00C33803">
      <w:pPr>
        <w:jc w:val="both"/>
      </w:pPr>
      <w:r>
        <w:rPr>
          <w:sz w:val="24"/>
        </w:rPr>
        <w:t>Jeder Netzbetreiber ist selber für seine Netze verantwortlich und dafür dass ein Druckanstieg nicht zur kritischen Netzsituation führt (Fließgeschwindigkeit/Anlagenbauteile).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92"/>
      </w:tblGrid>
      <w:tr w:rsidR="00065545" w:rsidTr="00702754">
        <w:tc>
          <w:tcPr>
            <w:tcW w:w="817" w:type="dxa"/>
            <w:shd w:val="clear" w:color="auto" w:fill="FFC000"/>
          </w:tcPr>
          <w:p w:rsidR="00065545" w:rsidRDefault="00065545" w:rsidP="00192AEE"/>
        </w:tc>
        <w:tc>
          <w:tcPr>
            <w:tcW w:w="6379" w:type="dxa"/>
            <w:shd w:val="clear" w:color="auto" w:fill="FFC000"/>
          </w:tcPr>
          <w:p w:rsidR="00065545" w:rsidRPr="00A9199E" w:rsidRDefault="00065545" w:rsidP="00A9199E">
            <w:pPr>
              <w:jc w:val="center"/>
              <w:rPr>
                <w:b/>
                <w:sz w:val="24"/>
              </w:rPr>
            </w:pPr>
            <w:r w:rsidRPr="00A9199E">
              <w:rPr>
                <w:b/>
                <w:sz w:val="24"/>
              </w:rPr>
              <w:t>Maßnahme</w:t>
            </w:r>
          </w:p>
        </w:tc>
        <w:tc>
          <w:tcPr>
            <w:tcW w:w="2092" w:type="dxa"/>
            <w:shd w:val="clear" w:color="auto" w:fill="FFC000"/>
          </w:tcPr>
          <w:p w:rsidR="00065545" w:rsidRPr="00A9199E" w:rsidRDefault="00065545" w:rsidP="00A9199E">
            <w:pPr>
              <w:jc w:val="center"/>
              <w:rPr>
                <w:b/>
                <w:sz w:val="24"/>
              </w:rPr>
            </w:pPr>
            <w:r w:rsidRPr="00A9199E">
              <w:rPr>
                <w:b/>
                <w:sz w:val="24"/>
              </w:rPr>
              <w:t>Ist erfolgt</w:t>
            </w:r>
            <w:r w:rsidRPr="00A9199E">
              <w:rPr>
                <w:b/>
                <w:sz w:val="24"/>
              </w:rPr>
              <w:br/>
              <w:t>Durch wen/wann?</w:t>
            </w:r>
          </w:p>
        </w:tc>
      </w:tr>
      <w:tr w:rsidR="00994CC9" w:rsidTr="00702754">
        <w:tc>
          <w:tcPr>
            <w:tcW w:w="817" w:type="dxa"/>
          </w:tcPr>
          <w:p w:rsidR="00994CC9" w:rsidRPr="00A9199E" w:rsidRDefault="001A13F2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1A13F2" w:rsidRDefault="001A13F2" w:rsidP="001A13F2">
            <w:pPr>
              <w:jc w:val="both"/>
              <w:rPr>
                <w:sz w:val="24"/>
              </w:rPr>
            </w:pPr>
            <w:r>
              <w:rPr>
                <w:sz w:val="24"/>
              </w:rPr>
              <w:t>Wiederinbetriebnahme entsprechend folgender Vorgehensweise (sofern technisch realisierbar):</w:t>
            </w:r>
          </w:p>
          <w:p w:rsidR="001A13F2" w:rsidRPr="001A13F2" w:rsidRDefault="001A13F2" w:rsidP="001A13F2">
            <w:pPr>
              <w:pStyle w:val="Listenabsatz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1A13F2">
              <w:rPr>
                <w:i/>
                <w:sz w:val="24"/>
              </w:rPr>
              <w:t>Zuerst der Anteil der geschützten Kunden</w:t>
            </w:r>
          </w:p>
          <w:p w:rsidR="001A13F2" w:rsidRPr="001A13F2" w:rsidRDefault="001A13F2" w:rsidP="001A13F2">
            <w:pPr>
              <w:pStyle w:val="Listenabsatz"/>
              <w:numPr>
                <w:ilvl w:val="0"/>
                <w:numId w:val="7"/>
              </w:numPr>
              <w:jc w:val="both"/>
              <w:rPr>
                <w:i/>
                <w:sz w:val="24"/>
              </w:rPr>
            </w:pPr>
            <w:r w:rsidRPr="001A13F2">
              <w:rPr>
                <w:i/>
                <w:sz w:val="24"/>
              </w:rPr>
              <w:t>Dann der Anteil der angewiesenen Systemrelevanten Gaskraftwerke</w:t>
            </w:r>
          </w:p>
          <w:p w:rsidR="001A13F2" w:rsidRPr="001A13F2" w:rsidRDefault="001A13F2" w:rsidP="001A13F2">
            <w:pPr>
              <w:pStyle w:val="Listenabsatz"/>
              <w:numPr>
                <w:ilvl w:val="0"/>
                <w:numId w:val="7"/>
              </w:numPr>
              <w:jc w:val="both"/>
              <w:rPr>
                <w:i/>
                <w:sz w:val="24"/>
              </w:rPr>
            </w:pPr>
            <w:r w:rsidRPr="001A13F2">
              <w:rPr>
                <w:i/>
                <w:sz w:val="24"/>
              </w:rPr>
              <w:t>Dann die verbleibenden Kunden (Industriekunden, Letztverbraucher)</w:t>
            </w:r>
          </w:p>
          <w:p w:rsidR="00994CC9" w:rsidRPr="0057082C" w:rsidRDefault="00994CC9" w:rsidP="0057082C">
            <w:pPr>
              <w:jc w:val="both"/>
              <w:rPr>
                <w:sz w:val="24"/>
              </w:rPr>
            </w:pPr>
          </w:p>
        </w:tc>
        <w:tc>
          <w:tcPr>
            <w:tcW w:w="2092" w:type="dxa"/>
          </w:tcPr>
          <w:p w:rsidR="00994CC9" w:rsidRPr="00A9199E" w:rsidRDefault="00994CC9" w:rsidP="00192AEE">
            <w:pPr>
              <w:rPr>
                <w:sz w:val="24"/>
              </w:rPr>
            </w:pPr>
          </w:p>
        </w:tc>
      </w:tr>
      <w:tr w:rsidR="00065545" w:rsidTr="00702754">
        <w:tc>
          <w:tcPr>
            <w:tcW w:w="817" w:type="dxa"/>
          </w:tcPr>
          <w:p w:rsidR="00065545" w:rsidRPr="00A9199E" w:rsidRDefault="001A13F2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65545" w:rsidRPr="00A9199E">
              <w:rPr>
                <w:b/>
                <w:sz w:val="24"/>
              </w:rPr>
              <w:t>.</w:t>
            </w:r>
          </w:p>
        </w:tc>
        <w:tc>
          <w:tcPr>
            <w:tcW w:w="6379" w:type="dxa"/>
          </w:tcPr>
          <w:p w:rsidR="00065545" w:rsidRPr="00A9199E" w:rsidRDefault="0057082C" w:rsidP="0057082C">
            <w:pPr>
              <w:jc w:val="both"/>
              <w:rPr>
                <w:sz w:val="24"/>
              </w:rPr>
            </w:pPr>
            <w:r w:rsidRPr="0057082C">
              <w:rPr>
                <w:sz w:val="24"/>
              </w:rPr>
              <w:t>Bei der Wiederinbetriebnahme vom hohen Drucksystem zum niederen Drucksystem vorarbeiten</w:t>
            </w:r>
          </w:p>
        </w:tc>
        <w:tc>
          <w:tcPr>
            <w:tcW w:w="2092" w:type="dxa"/>
          </w:tcPr>
          <w:p w:rsidR="00065545" w:rsidRPr="00A9199E" w:rsidRDefault="00065545" w:rsidP="00192AEE">
            <w:pPr>
              <w:rPr>
                <w:sz w:val="24"/>
              </w:rPr>
            </w:pPr>
          </w:p>
        </w:tc>
      </w:tr>
      <w:tr w:rsidR="00CB6BAF" w:rsidTr="00702754">
        <w:tc>
          <w:tcPr>
            <w:tcW w:w="817" w:type="dxa"/>
          </w:tcPr>
          <w:p w:rsidR="00CB6BAF" w:rsidRDefault="00CB6BA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6379" w:type="dxa"/>
          </w:tcPr>
          <w:p w:rsidR="00CB6BAF" w:rsidRPr="0057082C" w:rsidRDefault="00CB6BAF" w:rsidP="0057082C">
            <w:pPr>
              <w:jc w:val="both"/>
              <w:rPr>
                <w:sz w:val="24"/>
              </w:rPr>
            </w:pPr>
            <w:r>
              <w:rPr>
                <w:sz w:val="24"/>
              </w:rPr>
              <w:t>Information von FNB an VNB über Druckerhöhung, Information Druckgradient (in der Regel 1 bar/h)</w:t>
            </w:r>
          </w:p>
        </w:tc>
        <w:tc>
          <w:tcPr>
            <w:tcW w:w="2092" w:type="dxa"/>
          </w:tcPr>
          <w:p w:rsidR="00CB6BAF" w:rsidRPr="00A9199E" w:rsidRDefault="00CB6BAF" w:rsidP="00192AEE">
            <w:pPr>
              <w:rPr>
                <w:sz w:val="24"/>
              </w:rPr>
            </w:pPr>
          </w:p>
        </w:tc>
      </w:tr>
      <w:tr w:rsidR="00CB6BAF" w:rsidTr="00702754">
        <w:tc>
          <w:tcPr>
            <w:tcW w:w="817" w:type="dxa"/>
          </w:tcPr>
          <w:p w:rsidR="00CB6BAF" w:rsidRDefault="00E563E8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379" w:type="dxa"/>
          </w:tcPr>
          <w:p w:rsidR="00CB6BAF" w:rsidRPr="0057082C" w:rsidRDefault="004A6CE8" w:rsidP="0057082C">
            <w:pPr>
              <w:jc w:val="both"/>
              <w:rPr>
                <w:sz w:val="24"/>
              </w:rPr>
            </w:pPr>
            <w:r>
              <w:rPr>
                <w:sz w:val="24"/>
              </w:rPr>
              <w:t>Gegebenenfalls</w:t>
            </w:r>
            <w:r w:rsidR="00E563E8">
              <w:rPr>
                <w:sz w:val="24"/>
              </w:rPr>
              <w:t xml:space="preserve"> Information von VNB an seine nachgelagerten NB</w:t>
            </w:r>
          </w:p>
        </w:tc>
        <w:tc>
          <w:tcPr>
            <w:tcW w:w="2092" w:type="dxa"/>
          </w:tcPr>
          <w:p w:rsidR="00CB6BAF" w:rsidRPr="00A9199E" w:rsidRDefault="00CB6BAF" w:rsidP="00192AEE">
            <w:pPr>
              <w:rPr>
                <w:sz w:val="24"/>
              </w:rPr>
            </w:pPr>
          </w:p>
        </w:tc>
      </w:tr>
      <w:tr w:rsidR="002E1C8F" w:rsidTr="00702754">
        <w:tc>
          <w:tcPr>
            <w:tcW w:w="817" w:type="dxa"/>
          </w:tcPr>
          <w:p w:rsidR="002E1C8F" w:rsidRDefault="002E1C8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79" w:type="dxa"/>
          </w:tcPr>
          <w:p w:rsidR="002E1C8F" w:rsidRDefault="002E1C8F" w:rsidP="00192AEE">
            <w:pPr>
              <w:rPr>
                <w:sz w:val="24"/>
              </w:rPr>
            </w:pPr>
            <w:r w:rsidRPr="002E1C8F">
              <w:rPr>
                <w:sz w:val="24"/>
              </w:rPr>
              <w:t xml:space="preserve">Systemrelevante Gasbezugsanlagen </w:t>
            </w:r>
            <w:r w:rsidR="00CB6BAF">
              <w:rPr>
                <w:sz w:val="24"/>
              </w:rPr>
              <w:t>sind</w:t>
            </w:r>
            <w:r w:rsidR="006D5FC5">
              <w:rPr>
                <w:sz w:val="24"/>
              </w:rPr>
              <w:t>,</w:t>
            </w:r>
            <w:r w:rsidRPr="002E1C8F">
              <w:rPr>
                <w:sz w:val="24"/>
              </w:rPr>
              <w:t xml:space="preserve"> </w:t>
            </w:r>
            <w:r>
              <w:rPr>
                <w:sz w:val="24"/>
              </w:rPr>
              <w:t>sofern nicht fernüberwachbar</w:t>
            </w:r>
            <w:r w:rsidR="006D5FC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2E1C8F">
              <w:rPr>
                <w:sz w:val="24"/>
              </w:rPr>
              <w:t xml:space="preserve">durch </w:t>
            </w:r>
            <w:r w:rsidR="006D5FC5">
              <w:rPr>
                <w:sz w:val="24"/>
              </w:rPr>
              <w:t>Fachkräfte</w:t>
            </w:r>
            <w:r w:rsidRPr="002E1C8F">
              <w:rPr>
                <w:sz w:val="24"/>
              </w:rPr>
              <w:t xml:space="preserve"> nach DVGW „Arbeitsblatt G 495 Gasanlagen – Instandhaltung“ </w:t>
            </w:r>
            <w:r w:rsidR="00CB6BAF">
              <w:rPr>
                <w:sz w:val="24"/>
              </w:rPr>
              <w:t xml:space="preserve">zu </w:t>
            </w:r>
            <w:r w:rsidRPr="002E1C8F">
              <w:rPr>
                <w:sz w:val="24"/>
              </w:rPr>
              <w:t>besetz</w:t>
            </w:r>
            <w:r w:rsidR="00CB6BAF">
              <w:rPr>
                <w:sz w:val="24"/>
              </w:rPr>
              <w:t>en</w:t>
            </w:r>
            <w:r w:rsidRPr="002E1C8F">
              <w:rPr>
                <w:sz w:val="24"/>
              </w:rPr>
              <w:t xml:space="preserve"> </w:t>
            </w:r>
            <w:r w:rsidR="006D5FC5">
              <w:rPr>
                <w:sz w:val="24"/>
              </w:rPr>
              <w:br/>
            </w:r>
          </w:p>
        </w:tc>
        <w:tc>
          <w:tcPr>
            <w:tcW w:w="2092" w:type="dxa"/>
          </w:tcPr>
          <w:p w:rsidR="002E1C8F" w:rsidRPr="00A9199E" w:rsidRDefault="002E1C8F" w:rsidP="00192AEE">
            <w:pPr>
              <w:rPr>
                <w:sz w:val="24"/>
              </w:rPr>
            </w:pPr>
          </w:p>
        </w:tc>
      </w:tr>
      <w:tr w:rsidR="00CB6BAF" w:rsidTr="00702754">
        <w:tc>
          <w:tcPr>
            <w:tcW w:w="817" w:type="dxa"/>
          </w:tcPr>
          <w:p w:rsidR="00CB6BAF" w:rsidRDefault="00CB6BA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6379" w:type="dxa"/>
          </w:tcPr>
          <w:p w:rsidR="00CB6BAF" w:rsidRPr="002E1C8F" w:rsidRDefault="00CB6BAF" w:rsidP="006D5FC5">
            <w:pPr>
              <w:jc w:val="both"/>
              <w:rPr>
                <w:sz w:val="24"/>
              </w:rPr>
            </w:pPr>
            <w:r>
              <w:rPr>
                <w:sz w:val="24"/>
              </w:rPr>
              <w:t>Rückmeldung der Einsatzbereitschaft an Leitzentralen</w:t>
            </w:r>
          </w:p>
        </w:tc>
        <w:tc>
          <w:tcPr>
            <w:tcW w:w="2092" w:type="dxa"/>
          </w:tcPr>
          <w:p w:rsidR="00CB6BAF" w:rsidRPr="00A9199E" w:rsidRDefault="00CB6BAF" w:rsidP="00192AEE">
            <w:pPr>
              <w:rPr>
                <w:sz w:val="24"/>
              </w:rPr>
            </w:pPr>
          </w:p>
        </w:tc>
      </w:tr>
      <w:tr w:rsidR="002E1C8F" w:rsidTr="00702754">
        <w:tc>
          <w:tcPr>
            <w:tcW w:w="817" w:type="dxa"/>
          </w:tcPr>
          <w:p w:rsidR="002E1C8F" w:rsidRDefault="00CB6BA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379" w:type="dxa"/>
          </w:tcPr>
          <w:p w:rsidR="002E1C8F" w:rsidRPr="002E1C8F" w:rsidRDefault="00135932" w:rsidP="002E1C8F">
            <w:pPr>
              <w:jc w:val="both"/>
              <w:rPr>
                <w:sz w:val="24"/>
              </w:rPr>
            </w:pPr>
            <w:r>
              <w:rPr>
                <w:sz w:val="24"/>
              </w:rPr>
              <w:t>Gasbezug auf</w:t>
            </w:r>
            <w:r w:rsidR="002E1C8F">
              <w:rPr>
                <w:sz w:val="24"/>
              </w:rPr>
              <w:t xml:space="preserve"> Qmax steuern/regeln</w:t>
            </w:r>
            <w:r>
              <w:rPr>
                <w:sz w:val="24"/>
              </w:rPr>
              <w:t xml:space="preserve"> unter Beachtung von VBmax an der Gasmessung</w:t>
            </w:r>
          </w:p>
        </w:tc>
        <w:tc>
          <w:tcPr>
            <w:tcW w:w="2092" w:type="dxa"/>
          </w:tcPr>
          <w:p w:rsidR="002E1C8F" w:rsidRPr="00A9199E" w:rsidRDefault="002E1C8F" w:rsidP="00192AEE">
            <w:pPr>
              <w:rPr>
                <w:sz w:val="24"/>
              </w:rPr>
            </w:pPr>
          </w:p>
        </w:tc>
      </w:tr>
      <w:tr w:rsidR="00065545" w:rsidTr="00702754">
        <w:tc>
          <w:tcPr>
            <w:tcW w:w="817" w:type="dxa"/>
          </w:tcPr>
          <w:p w:rsidR="00065545" w:rsidRPr="00A9199E" w:rsidRDefault="002E1C8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CB6BAF"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065545" w:rsidRPr="00A9199E" w:rsidRDefault="00F56D83" w:rsidP="00192AEE">
            <w:pPr>
              <w:rPr>
                <w:sz w:val="24"/>
              </w:rPr>
            </w:pPr>
            <w:r>
              <w:rPr>
                <w:sz w:val="24"/>
              </w:rPr>
              <w:t>Odorierung halten</w:t>
            </w:r>
            <w:r w:rsidR="005B78E6">
              <w:rPr>
                <w:sz w:val="24"/>
              </w:rPr>
              <w:t>, ggf. manuell einstellen</w:t>
            </w:r>
          </w:p>
        </w:tc>
        <w:tc>
          <w:tcPr>
            <w:tcW w:w="2092" w:type="dxa"/>
          </w:tcPr>
          <w:p w:rsidR="00065545" w:rsidRPr="00A9199E" w:rsidRDefault="00065545" w:rsidP="00192AEE">
            <w:pPr>
              <w:rPr>
                <w:sz w:val="24"/>
              </w:rPr>
            </w:pPr>
          </w:p>
        </w:tc>
      </w:tr>
      <w:tr w:rsidR="00065545" w:rsidTr="00702754">
        <w:tc>
          <w:tcPr>
            <w:tcW w:w="817" w:type="dxa"/>
          </w:tcPr>
          <w:p w:rsidR="00065545" w:rsidRPr="00A9199E" w:rsidRDefault="002E1C8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4235F">
              <w:rPr>
                <w:b/>
                <w:sz w:val="24"/>
              </w:rPr>
              <w:t>.</w:t>
            </w:r>
          </w:p>
        </w:tc>
        <w:tc>
          <w:tcPr>
            <w:tcW w:w="6379" w:type="dxa"/>
          </w:tcPr>
          <w:p w:rsidR="00065545" w:rsidRPr="00A9199E" w:rsidRDefault="00FA5156" w:rsidP="00192AEE">
            <w:pPr>
              <w:rPr>
                <w:sz w:val="24"/>
              </w:rPr>
            </w:pPr>
            <w:r>
              <w:rPr>
                <w:sz w:val="24"/>
              </w:rPr>
              <w:t>Kommunikation über die zuvor ausgetauschten Kontaktdaten (Netzkopplungsverträge und Leitfaden Krisenvorsorge</w:t>
            </w:r>
            <w:r w:rsidR="00AB7591">
              <w:rPr>
                <w:sz w:val="24"/>
              </w:rPr>
              <w:t xml:space="preserve"> </w:t>
            </w:r>
            <w:r w:rsidR="000E0008">
              <w:rPr>
                <w:sz w:val="24"/>
              </w:rPr>
              <w:t xml:space="preserve">Gas </w:t>
            </w:r>
            <w:r w:rsidR="00AB7591">
              <w:rPr>
                <w:sz w:val="24"/>
              </w:rPr>
              <w:t>KoV</w:t>
            </w:r>
            <w:r>
              <w:rPr>
                <w:sz w:val="24"/>
              </w:rPr>
              <w:t>)</w:t>
            </w:r>
          </w:p>
        </w:tc>
        <w:tc>
          <w:tcPr>
            <w:tcW w:w="2092" w:type="dxa"/>
          </w:tcPr>
          <w:p w:rsidR="00065545" w:rsidRPr="00A9199E" w:rsidRDefault="00065545" w:rsidP="00192AEE">
            <w:pPr>
              <w:rPr>
                <w:sz w:val="24"/>
              </w:rPr>
            </w:pPr>
          </w:p>
        </w:tc>
      </w:tr>
      <w:tr w:rsidR="00065545" w:rsidTr="00702754">
        <w:tc>
          <w:tcPr>
            <w:tcW w:w="817" w:type="dxa"/>
          </w:tcPr>
          <w:p w:rsidR="00065545" w:rsidRPr="00A9199E" w:rsidRDefault="002E1C8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4235F">
              <w:rPr>
                <w:b/>
                <w:sz w:val="24"/>
              </w:rPr>
              <w:t>.</w:t>
            </w:r>
          </w:p>
        </w:tc>
        <w:tc>
          <w:tcPr>
            <w:tcW w:w="6379" w:type="dxa"/>
          </w:tcPr>
          <w:p w:rsidR="00065545" w:rsidRPr="00A9199E" w:rsidRDefault="001A13F2" w:rsidP="00192AEE">
            <w:pPr>
              <w:rPr>
                <w:sz w:val="24"/>
              </w:rPr>
            </w:pPr>
            <w:r>
              <w:rPr>
                <w:sz w:val="24"/>
              </w:rPr>
              <w:t>Speicherkonzept der VNB berücksichtigen (Speicherbewirtschaftung erst wieder bei Netzstabilität)</w:t>
            </w:r>
          </w:p>
        </w:tc>
        <w:tc>
          <w:tcPr>
            <w:tcW w:w="2092" w:type="dxa"/>
          </w:tcPr>
          <w:p w:rsidR="00065545" w:rsidRPr="00A9199E" w:rsidRDefault="00065545" w:rsidP="00192AEE">
            <w:pPr>
              <w:rPr>
                <w:sz w:val="24"/>
              </w:rPr>
            </w:pPr>
          </w:p>
        </w:tc>
      </w:tr>
      <w:tr w:rsidR="00065545" w:rsidTr="00702754">
        <w:tc>
          <w:tcPr>
            <w:tcW w:w="817" w:type="dxa"/>
          </w:tcPr>
          <w:p w:rsidR="00065545" w:rsidRPr="00A9199E" w:rsidRDefault="002E1C8F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4235F">
              <w:rPr>
                <w:b/>
                <w:sz w:val="24"/>
              </w:rPr>
              <w:t>.</w:t>
            </w:r>
          </w:p>
        </w:tc>
        <w:tc>
          <w:tcPr>
            <w:tcW w:w="6379" w:type="dxa"/>
          </w:tcPr>
          <w:p w:rsidR="00065545" w:rsidRPr="00A9199E" w:rsidRDefault="00824F73" w:rsidP="00037C6C">
            <w:pPr>
              <w:rPr>
                <w:sz w:val="24"/>
              </w:rPr>
            </w:pPr>
            <w:r>
              <w:rPr>
                <w:sz w:val="24"/>
              </w:rPr>
              <w:t>Prioritäre</w:t>
            </w:r>
            <w:r w:rsidR="00037C6C" w:rsidRPr="002E1C8F">
              <w:rPr>
                <w:sz w:val="24"/>
              </w:rPr>
              <w:t xml:space="preserve"> </w:t>
            </w:r>
            <w:r w:rsidR="00037C6C">
              <w:rPr>
                <w:sz w:val="24"/>
              </w:rPr>
              <w:t>Ortsnetzstationen</w:t>
            </w:r>
            <w:r w:rsidR="00037C6C" w:rsidRPr="002E1C8F">
              <w:rPr>
                <w:sz w:val="24"/>
              </w:rPr>
              <w:t xml:space="preserve"> sollten</w:t>
            </w:r>
            <w:r w:rsidR="00037C6C">
              <w:rPr>
                <w:sz w:val="24"/>
              </w:rPr>
              <w:t>,</w:t>
            </w:r>
            <w:r w:rsidR="00037C6C" w:rsidRPr="002E1C8F">
              <w:rPr>
                <w:sz w:val="24"/>
              </w:rPr>
              <w:t xml:space="preserve"> </w:t>
            </w:r>
            <w:r w:rsidR="00037C6C">
              <w:rPr>
                <w:sz w:val="24"/>
              </w:rPr>
              <w:t xml:space="preserve">sofern nicht fernüberwachbar, </w:t>
            </w:r>
            <w:r w:rsidR="00037C6C" w:rsidRPr="002E1C8F">
              <w:rPr>
                <w:sz w:val="24"/>
              </w:rPr>
              <w:t xml:space="preserve">durch </w:t>
            </w:r>
            <w:r w:rsidR="00037C6C">
              <w:rPr>
                <w:sz w:val="24"/>
              </w:rPr>
              <w:t>Fachkräfte</w:t>
            </w:r>
            <w:r w:rsidR="00037C6C" w:rsidRPr="002E1C8F">
              <w:rPr>
                <w:sz w:val="24"/>
              </w:rPr>
              <w:t xml:space="preserve"> nach DVGW „Arbeitsblatt G 495 Gasanlagen – Instandhaltung“ besetzt sein</w:t>
            </w:r>
          </w:p>
        </w:tc>
        <w:tc>
          <w:tcPr>
            <w:tcW w:w="2092" w:type="dxa"/>
          </w:tcPr>
          <w:p w:rsidR="00065545" w:rsidRPr="00A9199E" w:rsidRDefault="00065545" w:rsidP="00192AEE">
            <w:pPr>
              <w:rPr>
                <w:sz w:val="24"/>
              </w:rPr>
            </w:pPr>
          </w:p>
        </w:tc>
      </w:tr>
      <w:tr w:rsidR="00065545" w:rsidTr="00702754">
        <w:tc>
          <w:tcPr>
            <w:tcW w:w="817" w:type="dxa"/>
          </w:tcPr>
          <w:p w:rsidR="00065545" w:rsidRPr="00A9199E" w:rsidRDefault="002472FC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6379" w:type="dxa"/>
          </w:tcPr>
          <w:p w:rsidR="002472FC" w:rsidRPr="00197688" w:rsidRDefault="002472FC" w:rsidP="00197688">
            <w:pPr>
              <w:jc w:val="both"/>
              <w:rPr>
                <w:sz w:val="24"/>
              </w:rPr>
            </w:pPr>
            <w:r w:rsidRPr="00197688">
              <w:rPr>
                <w:sz w:val="24"/>
              </w:rPr>
              <w:t>Überprüfung der Regelanlage ob die SAV offen sind ggf. öffnen (p. min. Abschaltung)</w:t>
            </w:r>
          </w:p>
          <w:p w:rsidR="00065545" w:rsidRPr="00A9199E" w:rsidRDefault="00065545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065545" w:rsidRPr="00A9199E" w:rsidRDefault="00065545" w:rsidP="00192AEE">
            <w:pPr>
              <w:rPr>
                <w:sz w:val="24"/>
              </w:rPr>
            </w:pPr>
          </w:p>
        </w:tc>
      </w:tr>
      <w:tr w:rsidR="001A13F2" w:rsidTr="00702754">
        <w:tc>
          <w:tcPr>
            <w:tcW w:w="817" w:type="dxa"/>
          </w:tcPr>
          <w:p w:rsidR="001A13F2" w:rsidRPr="00A9199E" w:rsidRDefault="002472FC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6379" w:type="dxa"/>
          </w:tcPr>
          <w:p w:rsidR="002472FC" w:rsidRPr="002472FC" w:rsidRDefault="00197688" w:rsidP="002472FC">
            <w:pPr>
              <w:jc w:val="both"/>
              <w:rPr>
                <w:sz w:val="24"/>
              </w:rPr>
            </w:pPr>
            <w:r>
              <w:rPr>
                <w:sz w:val="24"/>
              </w:rPr>
              <w:t>Überprüfung der Filteranlage</w:t>
            </w:r>
          </w:p>
          <w:p w:rsidR="001A13F2" w:rsidRPr="00A9199E" w:rsidRDefault="001A13F2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1A13F2" w:rsidRPr="00A9199E" w:rsidRDefault="001A13F2" w:rsidP="00192AEE">
            <w:pPr>
              <w:rPr>
                <w:sz w:val="24"/>
              </w:rPr>
            </w:pPr>
          </w:p>
        </w:tc>
      </w:tr>
      <w:tr w:rsidR="00D4235F" w:rsidTr="00702754">
        <w:tc>
          <w:tcPr>
            <w:tcW w:w="817" w:type="dxa"/>
          </w:tcPr>
          <w:p w:rsidR="00D4235F" w:rsidRPr="00A9199E" w:rsidRDefault="008A157E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379" w:type="dxa"/>
          </w:tcPr>
          <w:p w:rsidR="008A157E" w:rsidRPr="008A157E" w:rsidRDefault="008A157E" w:rsidP="008A157E">
            <w:pPr>
              <w:jc w:val="both"/>
              <w:rPr>
                <w:sz w:val="24"/>
              </w:rPr>
            </w:pPr>
            <w:r w:rsidRPr="008A157E">
              <w:rPr>
                <w:sz w:val="24"/>
              </w:rPr>
              <w:t xml:space="preserve">Bei der Wiederinbetriebnahme </w:t>
            </w:r>
            <w:r>
              <w:rPr>
                <w:sz w:val="24"/>
              </w:rPr>
              <w:t>der Gasverbrauchseinrichtungen</w:t>
            </w:r>
            <w:r w:rsidRPr="008A157E">
              <w:rPr>
                <w:sz w:val="24"/>
              </w:rPr>
              <w:t xml:space="preserve"> struktur</w:t>
            </w:r>
            <w:r>
              <w:rPr>
                <w:sz w:val="24"/>
              </w:rPr>
              <w:t>iert vorgehen (abhängig von der Netzstruktur)</w:t>
            </w:r>
          </w:p>
          <w:p w:rsidR="00D4235F" w:rsidRPr="00A9199E" w:rsidRDefault="00D4235F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D4235F" w:rsidRPr="00A9199E" w:rsidRDefault="00D4235F" w:rsidP="00192AEE">
            <w:pPr>
              <w:rPr>
                <w:sz w:val="24"/>
              </w:rPr>
            </w:pPr>
          </w:p>
        </w:tc>
      </w:tr>
      <w:tr w:rsidR="002472FC" w:rsidTr="00702754">
        <w:tc>
          <w:tcPr>
            <w:tcW w:w="817" w:type="dxa"/>
          </w:tcPr>
          <w:p w:rsidR="002472FC" w:rsidRPr="00A9199E" w:rsidRDefault="008A157E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6379" w:type="dxa"/>
          </w:tcPr>
          <w:p w:rsidR="008A157E" w:rsidRPr="008A157E" w:rsidRDefault="008A157E" w:rsidP="008A157E">
            <w:pPr>
              <w:jc w:val="both"/>
              <w:rPr>
                <w:sz w:val="24"/>
              </w:rPr>
            </w:pPr>
            <w:r w:rsidRPr="008A157E">
              <w:rPr>
                <w:sz w:val="24"/>
              </w:rPr>
              <w:t>Zur Wiederinbetriebnahme wenn nötig auch Vertragsinstallateure mit einbeziehen. Besonders zur Wiederinbetri</w:t>
            </w:r>
            <w:r w:rsidR="00346956">
              <w:rPr>
                <w:sz w:val="24"/>
              </w:rPr>
              <w:t>ebnahme der Heizungsanlagen im H</w:t>
            </w:r>
            <w:r w:rsidRPr="008A157E">
              <w:rPr>
                <w:sz w:val="24"/>
              </w:rPr>
              <w:t>aushalts- und Gewerbebereich</w:t>
            </w:r>
          </w:p>
          <w:p w:rsidR="002472FC" w:rsidRPr="00A9199E" w:rsidRDefault="002472FC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2472FC" w:rsidRPr="00A9199E" w:rsidRDefault="002472FC" w:rsidP="00192AEE">
            <w:pPr>
              <w:rPr>
                <w:sz w:val="24"/>
              </w:rPr>
            </w:pPr>
          </w:p>
        </w:tc>
      </w:tr>
      <w:tr w:rsidR="002472FC" w:rsidTr="00702754">
        <w:tc>
          <w:tcPr>
            <w:tcW w:w="817" w:type="dxa"/>
          </w:tcPr>
          <w:p w:rsidR="002472FC" w:rsidRPr="00A9199E" w:rsidRDefault="00346956" w:rsidP="00192A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379" w:type="dxa"/>
          </w:tcPr>
          <w:p w:rsidR="00346956" w:rsidRPr="00346956" w:rsidRDefault="00346956" w:rsidP="00346956">
            <w:pPr>
              <w:jc w:val="both"/>
              <w:rPr>
                <w:sz w:val="24"/>
              </w:rPr>
            </w:pPr>
            <w:r w:rsidRPr="00346956">
              <w:rPr>
                <w:sz w:val="24"/>
              </w:rPr>
              <w:t xml:space="preserve">Störfallzentrale mit entsprechender Besetzung </w:t>
            </w:r>
            <w:r w:rsidR="0024395C">
              <w:rPr>
                <w:sz w:val="24"/>
              </w:rPr>
              <w:t>ist rund um die Uhr</w:t>
            </w:r>
            <w:r w:rsidRPr="00346956">
              <w:rPr>
                <w:sz w:val="24"/>
              </w:rPr>
              <w:t xml:space="preserve"> einzurichten</w:t>
            </w:r>
          </w:p>
          <w:p w:rsidR="002472FC" w:rsidRPr="00A9199E" w:rsidRDefault="002472FC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2472FC" w:rsidRPr="00A9199E" w:rsidRDefault="002472FC" w:rsidP="00192AEE">
            <w:pPr>
              <w:rPr>
                <w:sz w:val="24"/>
              </w:rPr>
            </w:pPr>
          </w:p>
        </w:tc>
      </w:tr>
      <w:tr w:rsidR="001A13F2" w:rsidTr="00702754">
        <w:tc>
          <w:tcPr>
            <w:tcW w:w="817" w:type="dxa"/>
          </w:tcPr>
          <w:p w:rsidR="001A13F2" w:rsidRPr="00A9199E" w:rsidRDefault="001A13F2" w:rsidP="00192AEE">
            <w:pPr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1A13F2" w:rsidRPr="00A9199E" w:rsidRDefault="001A13F2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1A13F2" w:rsidRPr="00A9199E" w:rsidRDefault="001A13F2" w:rsidP="00192AEE">
            <w:pPr>
              <w:rPr>
                <w:sz w:val="24"/>
              </w:rPr>
            </w:pPr>
          </w:p>
        </w:tc>
      </w:tr>
      <w:tr w:rsidR="001A13F2" w:rsidTr="00702754">
        <w:tc>
          <w:tcPr>
            <w:tcW w:w="817" w:type="dxa"/>
          </w:tcPr>
          <w:p w:rsidR="001A13F2" w:rsidRPr="00A9199E" w:rsidRDefault="001A13F2" w:rsidP="00192AEE">
            <w:pPr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1A13F2" w:rsidRPr="00A9199E" w:rsidRDefault="001A13F2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1A13F2" w:rsidRPr="00A9199E" w:rsidRDefault="001A13F2" w:rsidP="00192AEE">
            <w:pPr>
              <w:rPr>
                <w:sz w:val="24"/>
              </w:rPr>
            </w:pPr>
          </w:p>
        </w:tc>
      </w:tr>
      <w:tr w:rsidR="001A13F2" w:rsidTr="00702754">
        <w:tc>
          <w:tcPr>
            <w:tcW w:w="817" w:type="dxa"/>
          </w:tcPr>
          <w:p w:rsidR="001A13F2" w:rsidRPr="00A9199E" w:rsidRDefault="001A13F2" w:rsidP="00192AEE">
            <w:pPr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1A13F2" w:rsidRPr="00A9199E" w:rsidRDefault="001A13F2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1A13F2" w:rsidRPr="00A9199E" w:rsidRDefault="001A13F2" w:rsidP="00192AEE">
            <w:pPr>
              <w:rPr>
                <w:sz w:val="24"/>
              </w:rPr>
            </w:pPr>
          </w:p>
        </w:tc>
      </w:tr>
      <w:tr w:rsidR="00346956" w:rsidTr="00702754">
        <w:tc>
          <w:tcPr>
            <w:tcW w:w="817" w:type="dxa"/>
          </w:tcPr>
          <w:p w:rsidR="00346956" w:rsidRPr="00A9199E" w:rsidRDefault="00346956" w:rsidP="00192AEE">
            <w:pPr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346956" w:rsidRPr="00A9199E" w:rsidRDefault="00346956" w:rsidP="00192AEE">
            <w:pPr>
              <w:rPr>
                <w:sz w:val="24"/>
              </w:rPr>
            </w:pPr>
          </w:p>
        </w:tc>
        <w:tc>
          <w:tcPr>
            <w:tcW w:w="2092" w:type="dxa"/>
          </w:tcPr>
          <w:p w:rsidR="00346956" w:rsidRPr="00A9199E" w:rsidRDefault="00346956" w:rsidP="00192AEE">
            <w:pPr>
              <w:rPr>
                <w:sz w:val="24"/>
              </w:rPr>
            </w:pPr>
          </w:p>
        </w:tc>
      </w:tr>
    </w:tbl>
    <w:p w:rsidR="00E93814" w:rsidRDefault="00E93814" w:rsidP="00192AEE"/>
    <w:p w:rsidR="00FF0157" w:rsidRPr="001836C7" w:rsidRDefault="00FF0157" w:rsidP="00C33803">
      <w:pPr>
        <w:jc w:val="both"/>
        <w:rPr>
          <w:sz w:val="24"/>
        </w:rPr>
      </w:pPr>
      <w:r w:rsidRPr="001836C7">
        <w:rPr>
          <w:sz w:val="24"/>
        </w:rPr>
        <w:t>Von der Reihenfolge kann unternehmensspezifisch abgewichen werden.</w:t>
      </w:r>
      <w:r w:rsidR="005F6241" w:rsidRPr="001836C7">
        <w:rPr>
          <w:sz w:val="24"/>
        </w:rPr>
        <w:t xml:space="preserve"> Im Übrigen gelten neben Gesetzen und Verordnungen das DVGW Regelwerk und die entsprechenden Alarmpläne der Netzbetreiber.</w:t>
      </w:r>
    </w:p>
    <w:sectPr w:rsidR="00FF0157" w:rsidRPr="001836C7" w:rsidSect="00802834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34" w:rsidRDefault="00802834" w:rsidP="00802834">
      <w:pPr>
        <w:spacing w:after="0" w:line="240" w:lineRule="auto"/>
      </w:pPr>
      <w:r>
        <w:separator/>
      </w:r>
    </w:p>
  </w:endnote>
  <w:endnote w:type="continuationSeparator" w:id="0">
    <w:p w:rsidR="00802834" w:rsidRDefault="00802834" w:rsidP="0080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899302"/>
      <w:docPartObj>
        <w:docPartGallery w:val="Page Numbers (Bottom of Page)"/>
        <w:docPartUnique/>
      </w:docPartObj>
    </w:sdtPr>
    <w:sdtEndPr/>
    <w:sdtContent>
      <w:p w:rsidR="00802834" w:rsidRDefault="0080283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84">
          <w:rPr>
            <w:noProof/>
          </w:rPr>
          <w:t>3</w:t>
        </w:r>
        <w:r>
          <w:fldChar w:fldCharType="end"/>
        </w:r>
      </w:p>
    </w:sdtContent>
  </w:sdt>
  <w:p w:rsidR="00802834" w:rsidRDefault="0080283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1A2CFA4D" wp14:editId="4A8B29D3">
          <wp:simplePos x="0" y="0"/>
          <wp:positionH relativeFrom="page">
            <wp:posOffset>361315</wp:posOffset>
          </wp:positionH>
          <wp:positionV relativeFrom="page">
            <wp:posOffset>10013950</wp:posOffset>
          </wp:positionV>
          <wp:extent cx="2202815" cy="522605"/>
          <wp:effectExtent l="0" t="0" r="6985" b="0"/>
          <wp:wrapNone/>
          <wp:docPr id="10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34" w:rsidRDefault="00802834" w:rsidP="00802834">
      <w:pPr>
        <w:spacing w:after="0" w:line="240" w:lineRule="auto"/>
      </w:pPr>
      <w:r>
        <w:separator/>
      </w:r>
    </w:p>
  </w:footnote>
  <w:footnote w:type="continuationSeparator" w:id="0">
    <w:p w:rsidR="00802834" w:rsidRDefault="00802834" w:rsidP="0080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8.5pt;height:141pt" o:bullet="t">
        <v:imagedata r:id="rId1" o:title="artEDE9"/>
      </v:shape>
    </w:pict>
  </w:numPicBullet>
  <w:abstractNum w:abstractNumId="0">
    <w:nsid w:val="0643584B"/>
    <w:multiLevelType w:val="hybridMultilevel"/>
    <w:tmpl w:val="10F28094"/>
    <w:lvl w:ilvl="0" w:tplc="4198C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6DC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D7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451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FC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615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29D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C85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C2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9A3578"/>
    <w:multiLevelType w:val="hybridMultilevel"/>
    <w:tmpl w:val="6284F79E"/>
    <w:lvl w:ilvl="0" w:tplc="862CD5F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F7B"/>
    <w:multiLevelType w:val="hybridMultilevel"/>
    <w:tmpl w:val="85BAA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291A"/>
    <w:multiLevelType w:val="hybridMultilevel"/>
    <w:tmpl w:val="EE12EDFE"/>
    <w:lvl w:ilvl="0" w:tplc="434C397E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54110B"/>
    <w:multiLevelType w:val="hybridMultilevel"/>
    <w:tmpl w:val="7090E692"/>
    <w:lvl w:ilvl="0" w:tplc="C3DC5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5D02"/>
    <w:multiLevelType w:val="hybridMultilevel"/>
    <w:tmpl w:val="86B2E6A6"/>
    <w:lvl w:ilvl="0" w:tplc="BB621A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72B6"/>
    <w:multiLevelType w:val="hybridMultilevel"/>
    <w:tmpl w:val="D0C249BE"/>
    <w:lvl w:ilvl="0" w:tplc="862CD5F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17094"/>
    <w:multiLevelType w:val="hybridMultilevel"/>
    <w:tmpl w:val="66A8B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AF"/>
    <w:rsid w:val="000072EC"/>
    <w:rsid w:val="00037C6C"/>
    <w:rsid w:val="000577FA"/>
    <w:rsid w:val="00065545"/>
    <w:rsid w:val="00067954"/>
    <w:rsid w:val="000906E8"/>
    <w:rsid w:val="000E0008"/>
    <w:rsid w:val="000E76A0"/>
    <w:rsid w:val="00105997"/>
    <w:rsid w:val="00124BC6"/>
    <w:rsid w:val="00135374"/>
    <w:rsid w:val="00135932"/>
    <w:rsid w:val="001520E4"/>
    <w:rsid w:val="001536E8"/>
    <w:rsid w:val="00155350"/>
    <w:rsid w:val="00163C56"/>
    <w:rsid w:val="001836C7"/>
    <w:rsid w:val="00192AEE"/>
    <w:rsid w:val="00197688"/>
    <w:rsid w:val="001A13F2"/>
    <w:rsid w:val="001A29B8"/>
    <w:rsid w:val="001B2E3E"/>
    <w:rsid w:val="001C1DF6"/>
    <w:rsid w:val="001C3120"/>
    <w:rsid w:val="001C7F14"/>
    <w:rsid w:val="001D266A"/>
    <w:rsid w:val="001D643C"/>
    <w:rsid w:val="001E5184"/>
    <w:rsid w:val="001E6F7D"/>
    <w:rsid w:val="0024395C"/>
    <w:rsid w:val="002472FC"/>
    <w:rsid w:val="0025699F"/>
    <w:rsid w:val="00281378"/>
    <w:rsid w:val="002979DF"/>
    <w:rsid w:val="002B04BF"/>
    <w:rsid w:val="002E1C8F"/>
    <w:rsid w:val="00306267"/>
    <w:rsid w:val="003251A7"/>
    <w:rsid w:val="00326681"/>
    <w:rsid w:val="00346956"/>
    <w:rsid w:val="003819F1"/>
    <w:rsid w:val="003A0804"/>
    <w:rsid w:val="003B4BA4"/>
    <w:rsid w:val="003F0443"/>
    <w:rsid w:val="00423837"/>
    <w:rsid w:val="00426ACC"/>
    <w:rsid w:val="00436FB9"/>
    <w:rsid w:val="00441F5A"/>
    <w:rsid w:val="004A6CE8"/>
    <w:rsid w:val="004B7736"/>
    <w:rsid w:val="005378F5"/>
    <w:rsid w:val="0057082C"/>
    <w:rsid w:val="005906E5"/>
    <w:rsid w:val="005A110E"/>
    <w:rsid w:val="005A4AB4"/>
    <w:rsid w:val="005A6EE4"/>
    <w:rsid w:val="005B00B0"/>
    <w:rsid w:val="005B4268"/>
    <w:rsid w:val="005B50F9"/>
    <w:rsid w:val="005B78E6"/>
    <w:rsid w:val="005D562C"/>
    <w:rsid w:val="005D57D6"/>
    <w:rsid w:val="005F5AA2"/>
    <w:rsid w:val="005F6241"/>
    <w:rsid w:val="006030C3"/>
    <w:rsid w:val="00642BDA"/>
    <w:rsid w:val="00660DFB"/>
    <w:rsid w:val="006745C3"/>
    <w:rsid w:val="00681318"/>
    <w:rsid w:val="006D5FC5"/>
    <w:rsid w:val="00702754"/>
    <w:rsid w:val="007047AC"/>
    <w:rsid w:val="00725562"/>
    <w:rsid w:val="00730751"/>
    <w:rsid w:val="007405AF"/>
    <w:rsid w:val="007408A6"/>
    <w:rsid w:val="007464B2"/>
    <w:rsid w:val="00786757"/>
    <w:rsid w:val="007C4492"/>
    <w:rsid w:val="00802834"/>
    <w:rsid w:val="00824F73"/>
    <w:rsid w:val="00825542"/>
    <w:rsid w:val="0089193B"/>
    <w:rsid w:val="008A157E"/>
    <w:rsid w:val="008C0541"/>
    <w:rsid w:val="008D6E3C"/>
    <w:rsid w:val="008F1F52"/>
    <w:rsid w:val="00904B79"/>
    <w:rsid w:val="0091055E"/>
    <w:rsid w:val="009132DD"/>
    <w:rsid w:val="00926330"/>
    <w:rsid w:val="00937172"/>
    <w:rsid w:val="0094393F"/>
    <w:rsid w:val="0096258A"/>
    <w:rsid w:val="00984F1A"/>
    <w:rsid w:val="00985D5F"/>
    <w:rsid w:val="00994CC9"/>
    <w:rsid w:val="00996224"/>
    <w:rsid w:val="009A45C7"/>
    <w:rsid w:val="009B3C55"/>
    <w:rsid w:val="00A01653"/>
    <w:rsid w:val="00A41DBB"/>
    <w:rsid w:val="00A503AF"/>
    <w:rsid w:val="00A52F4C"/>
    <w:rsid w:val="00A62504"/>
    <w:rsid w:val="00A9199E"/>
    <w:rsid w:val="00AB7591"/>
    <w:rsid w:val="00AC47F8"/>
    <w:rsid w:val="00AD7F6D"/>
    <w:rsid w:val="00AE141F"/>
    <w:rsid w:val="00AE7A92"/>
    <w:rsid w:val="00B42913"/>
    <w:rsid w:val="00B42B47"/>
    <w:rsid w:val="00B6205A"/>
    <w:rsid w:val="00B93568"/>
    <w:rsid w:val="00BA0F06"/>
    <w:rsid w:val="00BD0270"/>
    <w:rsid w:val="00BF01CE"/>
    <w:rsid w:val="00BF2C6E"/>
    <w:rsid w:val="00C170E6"/>
    <w:rsid w:val="00C269C1"/>
    <w:rsid w:val="00C33803"/>
    <w:rsid w:val="00C36B4C"/>
    <w:rsid w:val="00C43824"/>
    <w:rsid w:val="00C657E9"/>
    <w:rsid w:val="00C65C24"/>
    <w:rsid w:val="00C77E40"/>
    <w:rsid w:val="00C93CAB"/>
    <w:rsid w:val="00CA65FF"/>
    <w:rsid w:val="00CB6BAF"/>
    <w:rsid w:val="00CC0DD6"/>
    <w:rsid w:val="00CD6BC9"/>
    <w:rsid w:val="00CE11F4"/>
    <w:rsid w:val="00D00659"/>
    <w:rsid w:val="00D00C39"/>
    <w:rsid w:val="00D13F27"/>
    <w:rsid w:val="00D4235F"/>
    <w:rsid w:val="00D54952"/>
    <w:rsid w:val="00D934F9"/>
    <w:rsid w:val="00DF1C2B"/>
    <w:rsid w:val="00DF702A"/>
    <w:rsid w:val="00E563E8"/>
    <w:rsid w:val="00E7253D"/>
    <w:rsid w:val="00E93814"/>
    <w:rsid w:val="00E9448F"/>
    <w:rsid w:val="00EA3A1E"/>
    <w:rsid w:val="00EF0540"/>
    <w:rsid w:val="00F16797"/>
    <w:rsid w:val="00F56D83"/>
    <w:rsid w:val="00F647B1"/>
    <w:rsid w:val="00F94381"/>
    <w:rsid w:val="00FA5156"/>
    <w:rsid w:val="00FE4C0B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834"/>
  </w:style>
  <w:style w:type="paragraph" w:styleId="Fuzeile">
    <w:name w:val="footer"/>
    <w:basedOn w:val="Standard"/>
    <w:link w:val="FuzeileZchn"/>
    <w:uiPriority w:val="99"/>
    <w:unhideWhenUsed/>
    <w:rsid w:val="0080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834"/>
  </w:style>
  <w:style w:type="character" w:customStyle="1" w:styleId="berschrift1Zchn">
    <w:name w:val="Überschrift 1 Zchn"/>
    <w:basedOn w:val="Absatz-Standardschriftart"/>
    <w:link w:val="berschrift1"/>
    <w:uiPriority w:val="9"/>
    <w:rsid w:val="00A01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653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65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0165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016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165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2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163C56"/>
  </w:style>
  <w:style w:type="table" w:styleId="Tabellenraster">
    <w:name w:val="Table Grid"/>
    <w:basedOn w:val="NormaleTabelle"/>
    <w:uiPriority w:val="59"/>
    <w:rsid w:val="00E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423837"/>
    <w:pPr>
      <w:spacing w:after="0" w:line="240" w:lineRule="auto"/>
    </w:pPr>
    <w:rPr>
      <w:rFonts w:ascii="ArialMT" w:hAnsi="ArialMT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3837"/>
    <w:rPr>
      <w:rFonts w:ascii="ArialMT" w:hAnsi="ArialMT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834"/>
  </w:style>
  <w:style w:type="paragraph" w:styleId="Fuzeile">
    <w:name w:val="footer"/>
    <w:basedOn w:val="Standard"/>
    <w:link w:val="FuzeileZchn"/>
    <w:uiPriority w:val="99"/>
    <w:unhideWhenUsed/>
    <w:rsid w:val="0080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834"/>
  </w:style>
  <w:style w:type="character" w:customStyle="1" w:styleId="berschrift1Zchn">
    <w:name w:val="Überschrift 1 Zchn"/>
    <w:basedOn w:val="Absatz-Standardschriftart"/>
    <w:link w:val="berschrift1"/>
    <w:uiPriority w:val="9"/>
    <w:rsid w:val="00A01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653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65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0165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016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165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2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163C56"/>
  </w:style>
  <w:style w:type="table" w:styleId="Tabellenraster">
    <w:name w:val="Table Grid"/>
    <w:basedOn w:val="NormaleTabelle"/>
    <w:uiPriority w:val="59"/>
    <w:rsid w:val="00E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423837"/>
    <w:pPr>
      <w:spacing w:after="0" w:line="240" w:lineRule="auto"/>
    </w:pPr>
    <w:rPr>
      <w:rFonts w:ascii="ArialMT" w:hAnsi="ArialMT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3837"/>
    <w:rPr>
      <w:rFonts w:ascii="ArialMT" w:hAnsi="ArialMT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1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DDFC-73AC-4D66-8B11-F4DB0486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Wiehler, Claudia</dc:creator>
  <cp:lastModifiedBy>Wiehler, Claudia</cp:lastModifiedBy>
  <cp:revision>8</cp:revision>
  <cp:lastPrinted>2015-07-08T08:16:00Z</cp:lastPrinted>
  <dcterms:created xsi:type="dcterms:W3CDTF">2015-10-07T12:28:00Z</dcterms:created>
  <dcterms:modified xsi:type="dcterms:W3CDTF">2015-10-07T12:39:00Z</dcterms:modified>
</cp:coreProperties>
</file>